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2AA0F9">
      <w:pPr>
        <w:pStyle w:val="11"/>
        <w:tabs>
          <w:tab w:val="left" w:pos="9193"/>
          <w:tab w:val="left" w:pos="9827"/>
        </w:tabs>
        <w:overflowPunct w:val="0"/>
        <w:snapToGrid w:val="0"/>
        <w:spacing w:line="590" w:lineRule="exact"/>
        <w:jc w:val="center"/>
        <w:rPr>
          <w:rFonts w:hint="eastAsia" w:ascii="Times New Roman" w:hAnsi="Times" w:eastAsia="宋体" w:cs="Times New Roman"/>
          <w:snapToGrid w:val="0"/>
          <w:color w:val="auto"/>
          <w:szCs w:val="20"/>
          <w:lang w:eastAsia="zh-CN"/>
        </w:rPr>
      </w:pPr>
      <w:r>
        <w:rPr>
          <w:rFonts w:ascii="Times New Roman" w:hAnsi="Times" w:eastAsia="宋体" w:cs="Times New Roman"/>
          <w:snapToGrid w:val="0"/>
          <w:color w:val="auto"/>
          <w:szCs w:val="20"/>
        </w:rPr>
        <w:t>江苏省挥发性有机物污染防治管理办法</w:t>
      </w:r>
      <w:r>
        <w:rPr>
          <w:rFonts w:hint="eastAsia" w:ascii="Times New Roman" w:hAnsi="Times" w:eastAsia="宋体" w:cs="Times New Roman"/>
          <w:snapToGrid w:val="0"/>
          <w:color w:val="auto"/>
          <w:szCs w:val="20"/>
          <w:lang w:eastAsia="zh-CN"/>
        </w:rPr>
        <w:t>（</w:t>
      </w:r>
      <w:r>
        <w:rPr>
          <w:rFonts w:hint="eastAsia" w:ascii="Times New Roman" w:hAnsi="Times" w:eastAsia="宋体" w:cs="Times New Roman"/>
          <w:snapToGrid w:val="0"/>
          <w:color w:val="auto"/>
          <w:szCs w:val="20"/>
          <w:lang w:val="en-US" w:eastAsia="zh-CN"/>
        </w:rPr>
        <w:t>修改方案</w:t>
      </w:r>
      <w:r>
        <w:rPr>
          <w:rFonts w:hint="eastAsia" w:ascii="Times New Roman" w:hAnsi="Times" w:eastAsia="宋体" w:cs="Times New Roman"/>
          <w:snapToGrid w:val="0"/>
          <w:color w:val="auto"/>
          <w:szCs w:val="20"/>
          <w:lang w:eastAsia="zh-CN"/>
        </w:rPr>
        <w:t>）</w:t>
      </w:r>
    </w:p>
    <w:p w14:paraId="73E867BC">
      <w:pPr>
        <w:widowControl/>
        <w:shd w:val="clear" w:color="auto" w:fill="FFFFFF"/>
        <w:spacing w:before="364" w:after="100" w:afterAutospacing="1" w:line="443" w:lineRule="atLeast"/>
        <w:ind w:firstLine="480"/>
        <w:jc w:val="center"/>
        <w:rPr>
          <w:rFonts w:hint="eastAsia" w:ascii="楷体_GB2312" w:hAnsi="楷体_GB2312" w:eastAsia="楷体_GB2312" w:cs="楷体_GB2312"/>
          <w:color w:val="auto"/>
          <w:kern w:val="0"/>
          <w:sz w:val="32"/>
          <w:szCs w:val="32"/>
        </w:rPr>
      </w:pPr>
      <w:r>
        <w:rPr>
          <w:rFonts w:hint="eastAsia" w:ascii="楷体_GB2312" w:hAnsi="楷体_GB2312" w:eastAsia="楷体_GB2312" w:cs="楷体_GB2312"/>
          <w:b/>
          <w:bCs/>
          <w:color w:val="auto"/>
          <w:kern w:val="0"/>
          <w:sz w:val="33"/>
        </w:rPr>
        <w:t>江苏省人民政府令</w:t>
      </w:r>
    </w:p>
    <w:p w14:paraId="6E8FE545">
      <w:pPr>
        <w:widowControl/>
        <w:shd w:val="clear" w:color="auto" w:fill="FFFFFF"/>
        <w:spacing w:before="364" w:after="100" w:afterAutospacing="1" w:line="443" w:lineRule="atLeast"/>
        <w:ind w:firstLine="480"/>
        <w:jc w:val="center"/>
        <w:rPr>
          <w:rFonts w:hint="default" w:ascii="Times New Roman" w:hAnsi="Times New Roman" w:eastAsia="仿宋_GB2312" w:cs="Times New Roman"/>
          <w:color w:val="auto"/>
          <w:kern w:val="0"/>
          <w:sz w:val="32"/>
          <w:szCs w:val="32"/>
        </w:rPr>
      </w:pPr>
      <w:r>
        <w:rPr>
          <w:rFonts w:hint="default" w:ascii="Times New Roman" w:hAnsi="Times New Roman" w:eastAsia="楷体_GB2312" w:cs="Times New Roman"/>
          <w:b/>
          <w:bCs/>
          <w:color w:val="auto"/>
          <w:kern w:val="0"/>
          <w:sz w:val="33"/>
        </w:rPr>
        <w:t>第119号</w:t>
      </w:r>
    </w:p>
    <w:p w14:paraId="743D67C6">
      <w:pPr>
        <w:widowControl/>
        <w:shd w:val="clear" w:color="auto" w:fill="FFFFFF"/>
        <w:spacing w:before="364" w:after="100" w:afterAutospacing="1" w:line="443" w:lineRule="atLeast"/>
        <w:ind w:firstLine="480"/>
        <w:jc w:val="left"/>
        <w:rPr>
          <w:rFonts w:ascii="Times" w:hAnsi="Times" w:eastAsia="楷体_GB2312" w:cs="Times New Roman"/>
          <w:color w:val="auto"/>
          <w:sz w:val="32"/>
          <w:szCs w:val="20"/>
        </w:rPr>
      </w:pPr>
      <w:r>
        <w:rPr>
          <w:rFonts w:ascii="Times" w:hAnsi="Times" w:eastAsia="楷体_GB2312" w:cs="Times New Roman"/>
          <w:color w:val="auto"/>
          <w:sz w:val="32"/>
          <w:szCs w:val="20"/>
        </w:rPr>
        <w:t>《江苏省挥发性有机物污染防治管理办法》已于2018年1月15日经省人民政府第121次常务会议讨论通过，现予发布，自2018年5月1日起施行。</w:t>
      </w:r>
    </w:p>
    <w:p w14:paraId="163DEE00">
      <w:pPr>
        <w:widowControl/>
        <w:shd w:val="clear" w:color="auto" w:fill="FFFFFF"/>
        <w:spacing w:before="364" w:after="100" w:afterAutospacing="1" w:line="443" w:lineRule="atLeast"/>
        <w:ind w:firstLine="480"/>
        <w:jc w:val="right"/>
        <w:rPr>
          <w:rFonts w:ascii="Times" w:hAnsi="Times" w:eastAsia="楷体_GB2312" w:cs="Times New Roman"/>
          <w:color w:val="auto"/>
          <w:sz w:val="32"/>
          <w:szCs w:val="20"/>
        </w:rPr>
      </w:pPr>
      <w:r>
        <w:rPr>
          <w:rFonts w:ascii="Times" w:hAnsi="Times" w:eastAsia="楷体_GB2312" w:cs="Times New Roman"/>
          <w:color w:val="auto"/>
          <w:sz w:val="32"/>
          <w:szCs w:val="20"/>
        </w:rPr>
        <w:t>省长：吴政隆</w:t>
      </w:r>
    </w:p>
    <w:p w14:paraId="1B30524A">
      <w:pPr>
        <w:widowControl/>
        <w:shd w:val="clear" w:color="auto" w:fill="FFFFFF"/>
        <w:spacing w:before="364" w:after="100" w:afterAutospacing="1" w:line="443" w:lineRule="atLeast"/>
        <w:ind w:firstLine="480"/>
        <w:jc w:val="right"/>
        <w:rPr>
          <w:rFonts w:ascii="Times" w:hAnsi="Times" w:eastAsia="楷体_GB2312" w:cs="Times New Roman"/>
          <w:color w:val="auto"/>
          <w:sz w:val="32"/>
          <w:szCs w:val="20"/>
        </w:rPr>
      </w:pPr>
      <w:r>
        <w:rPr>
          <w:rFonts w:ascii="Times" w:hAnsi="Times" w:eastAsia="楷体_GB2312" w:cs="Times New Roman"/>
          <w:color w:val="auto"/>
          <w:sz w:val="32"/>
          <w:szCs w:val="20"/>
        </w:rPr>
        <w:t>2018年1月22日</w:t>
      </w:r>
    </w:p>
    <w:p w14:paraId="1DD4A25C">
      <w:pPr>
        <w:widowControl/>
        <w:shd w:val="clear" w:color="auto" w:fill="FFFFFF"/>
        <w:spacing w:before="364" w:after="100" w:afterAutospacing="1" w:line="443" w:lineRule="atLeast"/>
        <w:ind w:firstLine="480"/>
        <w:jc w:val="center"/>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 </w:t>
      </w:r>
    </w:p>
    <w:p w14:paraId="798AD54E">
      <w:pPr>
        <w:widowControl/>
        <w:shd w:val="clear" w:color="auto" w:fill="FFFFFF"/>
        <w:spacing w:before="364" w:after="100" w:afterAutospacing="1" w:line="443" w:lineRule="atLeast"/>
        <w:ind w:firstLine="480"/>
        <w:jc w:val="center"/>
        <w:rPr>
          <w:rFonts w:hint="eastAsia" w:ascii="楷体_GB2312" w:hAnsi="楷体_GB2312" w:eastAsia="楷体_GB2312" w:cs="楷体_GB2312"/>
          <w:color w:val="auto"/>
          <w:kern w:val="0"/>
          <w:sz w:val="32"/>
          <w:szCs w:val="32"/>
        </w:rPr>
      </w:pPr>
      <w:r>
        <w:rPr>
          <w:rFonts w:hint="eastAsia" w:ascii="楷体_GB2312" w:hAnsi="楷体_GB2312" w:eastAsia="楷体_GB2312" w:cs="楷体_GB2312"/>
          <w:b/>
          <w:bCs/>
          <w:color w:val="auto"/>
          <w:kern w:val="0"/>
          <w:sz w:val="33"/>
        </w:rPr>
        <w:t>江苏省挥发性有机物污染防治管理办法</w:t>
      </w:r>
    </w:p>
    <w:p w14:paraId="2EE930C0">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第一条</w:t>
      </w:r>
      <w:r>
        <w:rPr>
          <w:rFonts w:hint="eastAsia" w:ascii="仿宋_GB2312" w:hAnsi="仿宋_GB2312" w:eastAsia="仿宋_GB2312" w:cs="仿宋_GB2312"/>
          <w:color w:val="auto"/>
          <w:kern w:val="0"/>
          <w:sz w:val="32"/>
          <w:szCs w:val="32"/>
          <w:lang w:val="en-US" w:eastAsia="zh-CN"/>
        </w:rPr>
        <w:t xml:space="preserve">  </w:t>
      </w:r>
      <w:r>
        <w:rPr>
          <w:rFonts w:hint="eastAsia" w:ascii="仿宋_GB2312" w:hAnsi="仿宋_GB2312" w:eastAsia="仿宋_GB2312" w:cs="仿宋_GB2312"/>
          <w:color w:val="auto"/>
          <w:kern w:val="0"/>
          <w:sz w:val="32"/>
          <w:szCs w:val="32"/>
        </w:rPr>
        <w:t>为了推进生态文明建设，防治挥发性有机物污染，改善空气质量和生活环境，保障公众健康，根据</w:t>
      </w:r>
      <w:r>
        <w:rPr>
          <w:rFonts w:hint="eastAsia" w:ascii="仿宋_GB2312" w:hAnsi="仿宋_GB2312" w:eastAsia="仿宋_GB2312" w:cs="仿宋_GB2312"/>
          <w:color w:val="auto"/>
          <w:kern w:val="0"/>
          <w:sz w:val="32"/>
          <w:szCs w:val="32"/>
          <w:highlight w:val="lightGray"/>
        </w:rPr>
        <w:t>《中华人民共和国环境保护法》《中华人民共和国大气污染防治法》</w:t>
      </w:r>
      <w:r>
        <w:rPr>
          <w:rFonts w:ascii="Times New Roman" w:hAnsi="Times New Roman" w:eastAsia="方正黑体_GBK" w:cs="Times New Roman"/>
          <w:color w:val="auto"/>
          <w:sz w:val="32"/>
          <w:szCs w:val="32"/>
        </w:rPr>
        <w:t>《中华人民共和国生态环境法典》</w:t>
      </w:r>
      <w:r>
        <w:rPr>
          <w:rFonts w:hint="eastAsia" w:ascii="仿宋_GB2312" w:hAnsi="仿宋_GB2312" w:eastAsia="仿宋_GB2312" w:cs="仿宋_GB2312"/>
          <w:color w:val="auto"/>
          <w:kern w:val="0"/>
          <w:sz w:val="32"/>
          <w:szCs w:val="32"/>
        </w:rPr>
        <w:t>《江苏省大气污染防治条例》等法律、法规，结合本省实际，制定本办法。</w:t>
      </w:r>
    </w:p>
    <w:p w14:paraId="6CDC5E17">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本省行政区域内挥发性有机物污染防治及其监督管理活动，适用本办法。</w:t>
      </w:r>
    </w:p>
    <w:p w14:paraId="2666E38E">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本办法所称挥发性有机物，是指工业生产、有机化学品储运装卸、建筑施工、洗染、机动车维修、农药喷洒等生产经营和服务活动中排放的、参与大气光化学反应的有机化合物，或者根据规定的方法测量、核算确定的有机化合物。</w:t>
      </w:r>
    </w:p>
    <w:p w14:paraId="6D023AF5">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第三条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挥发性有机物污染防治坚持源头控制、综合治理、损害担责、公众参与的原则，重点防治工业源排放的挥发性有机物，强化生活源、农业源等挥发性有机物污染防治。</w:t>
      </w:r>
    </w:p>
    <w:p w14:paraId="0CAA550E">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第四条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县级以上地方人民政府统筹负责本行政区域内挥发性有机物污染防治工作，严格控制和有计划削减挥发性有机物排放总量，加大挥发性有机物污染防治的资金投入，并及时协调、解决本行政区域内挥发性有机物污染防治工作中的重大问题。</w:t>
      </w:r>
    </w:p>
    <w:p w14:paraId="0AFF8ABF">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第五条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highlight w:val="lightGray"/>
        </w:rPr>
        <w:t>环境保护</w:t>
      </w:r>
      <w:r>
        <w:rPr>
          <w:rFonts w:hint="eastAsia" w:ascii="Times New Roman" w:hAnsi="Times New Roman" w:eastAsia="方正黑体_GBK" w:cs="Times New Roman"/>
          <w:color w:val="auto"/>
          <w:sz w:val="32"/>
          <w:szCs w:val="32"/>
          <w:lang w:val="en-US" w:eastAsia="zh-CN"/>
        </w:rPr>
        <w:t>生态环境</w:t>
      </w:r>
      <w:r>
        <w:rPr>
          <w:rFonts w:hint="eastAsia" w:ascii="仿宋_GB2312" w:hAnsi="仿宋_GB2312" w:eastAsia="仿宋_GB2312" w:cs="仿宋_GB2312"/>
          <w:color w:val="auto"/>
          <w:kern w:val="0"/>
          <w:sz w:val="32"/>
          <w:szCs w:val="32"/>
        </w:rPr>
        <w:t>主管部门对挥发性有机物污染防治实施统一监督管理，并加强空气</w:t>
      </w:r>
      <w:r>
        <w:rPr>
          <w:rFonts w:hint="eastAsia" w:ascii="Times New Roman" w:hAnsi="Times New Roman" w:eastAsia="方正黑体_GBK" w:cs="Times New Roman"/>
          <w:color w:val="auto"/>
          <w:sz w:val="32"/>
          <w:szCs w:val="32"/>
          <w:lang w:val="en-US" w:eastAsia="zh-CN"/>
        </w:rPr>
        <w:t>环境</w:t>
      </w:r>
      <w:r>
        <w:rPr>
          <w:rFonts w:hint="eastAsia" w:ascii="仿宋_GB2312" w:hAnsi="仿宋_GB2312" w:eastAsia="仿宋_GB2312" w:cs="仿宋_GB2312"/>
          <w:color w:val="auto"/>
          <w:kern w:val="0"/>
          <w:sz w:val="32"/>
          <w:szCs w:val="32"/>
        </w:rPr>
        <w:t>质量监测，发布环境空气质量状况信息。</w:t>
      </w:r>
    </w:p>
    <w:p w14:paraId="5C4FE43A">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发展改革（能源）、</w:t>
      </w:r>
      <w:r>
        <w:rPr>
          <w:rFonts w:hint="eastAsia" w:ascii="仿宋_GB2312" w:hAnsi="仿宋_GB2312" w:eastAsia="仿宋_GB2312" w:cs="仿宋_GB2312"/>
          <w:color w:val="auto"/>
          <w:kern w:val="0"/>
          <w:sz w:val="32"/>
          <w:szCs w:val="32"/>
          <w:highlight w:val="lightGray"/>
        </w:rPr>
        <w:t>经济和信息化</w:t>
      </w:r>
      <w:r>
        <w:rPr>
          <w:rFonts w:hint="eastAsia" w:ascii="Times New Roman" w:hAnsi="Times New Roman" w:eastAsia="方正黑体_GBK" w:cs="Times New Roman"/>
          <w:color w:val="auto"/>
          <w:sz w:val="32"/>
          <w:szCs w:val="32"/>
          <w:lang w:val="en-US" w:eastAsia="zh-CN"/>
        </w:rPr>
        <w:t>工业和信息化</w:t>
      </w:r>
      <w:r>
        <w:rPr>
          <w:rFonts w:hint="eastAsia" w:ascii="仿宋_GB2312" w:hAnsi="仿宋_GB2312" w:eastAsia="仿宋_GB2312" w:cs="仿宋_GB2312"/>
          <w:color w:val="auto"/>
          <w:kern w:val="0"/>
          <w:sz w:val="32"/>
          <w:szCs w:val="32"/>
        </w:rPr>
        <w:t>等主管部门按照各自职责推进工业挥发性有机物污染防治。</w:t>
      </w:r>
    </w:p>
    <w:p w14:paraId="50ED228F">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住房城乡建设、交通运输（港口）、农业</w:t>
      </w:r>
      <w:r>
        <w:rPr>
          <w:rFonts w:hint="eastAsia" w:ascii="Times New Roman" w:hAnsi="Times New Roman" w:eastAsia="方正黑体_GBK" w:cs="Times New Roman"/>
          <w:color w:val="auto"/>
          <w:sz w:val="32"/>
          <w:szCs w:val="32"/>
          <w:lang w:val="en-US" w:eastAsia="zh-CN"/>
        </w:rPr>
        <w:t>农村</w:t>
      </w:r>
      <w:r>
        <w:rPr>
          <w:rFonts w:hint="eastAsia" w:ascii="仿宋_GB2312" w:hAnsi="仿宋_GB2312" w:eastAsia="仿宋_GB2312" w:cs="仿宋_GB2312"/>
          <w:color w:val="auto"/>
          <w:kern w:val="0"/>
          <w:sz w:val="32"/>
          <w:szCs w:val="32"/>
        </w:rPr>
        <w:t>、林业</w:t>
      </w:r>
      <w:r>
        <w:rPr>
          <w:rFonts w:hint="eastAsia" w:ascii="Times New Roman" w:hAnsi="Times New Roman" w:eastAsia="方正黑体_GBK" w:cs="Times New Roman"/>
          <w:color w:val="auto"/>
          <w:sz w:val="32"/>
          <w:szCs w:val="32"/>
          <w:lang w:val="en-US" w:eastAsia="zh-CN"/>
        </w:rPr>
        <w:t>草原</w:t>
      </w:r>
      <w:r>
        <w:rPr>
          <w:rFonts w:hint="eastAsia" w:ascii="仿宋_GB2312" w:hAnsi="仿宋_GB2312" w:eastAsia="仿宋_GB2312" w:cs="仿宋_GB2312"/>
          <w:color w:val="auto"/>
          <w:kern w:val="0"/>
          <w:sz w:val="32"/>
          <w:szCs w:val="32"/>
        </w:rPr>
        <w:t>等主管部门和海事管理机构按照各自职责推进挥发性有机物污染防治，开展相关监督管理工作。</w:t>
      </w:r>
    </w:p>
    <w:p w14:paraId="4010BAF9">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第六条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县级以上地方人民政府指定的部门</w:t>
      </w:r>
      <w:r>
        <w:rPr>
          <w:rFonts w:hint="eastAsia" w:ascii="Times New Roman" w:hAnsi="Times New Roman" w:eastAsia="方正黑体_GBK" w:cs="Times New Roman"/>
          <w:color w:val="auto"/>
          <w:sz w:val="32"/>
          <w:szCs w:val="32"/>
          <w:lang w:val="en-US" w:eastAsia="zh-CN"/>
        </w:rPr>
        <w:t>或派出机构</w:t>
      </w:r>
      <w:r>
        <w:rPr>
          <w:rFonts w:hint="eastAsia" w:ascii="仿宋_GB2312" w:hAnsi="仿宋_GB2312" w:eastAsia="仿宋_GB2312" w:cs="仿宋_GB2312"/>
          <w:color w:val="auto"/>
          <w:kern w:val="0"/>
          <w:sz w:val="32"/>
          <w:szCs w:val="32"/>
        </w:rPr>
        <w:t>负责推进洗染、机动车维修等行业挥发性有机物污染防治，按照各自职责开展相关监督管理工作。</w:t>
      </w:r>
    </w:p>
    <w:p w14:paraId="3A09B457">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第七条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对挥发性有机物污染防治负有监督管理职责的部门应当采取有效措施，加强监督管理，并定期向社会公布挥发性有机物污染防治和监督检查情况。</w:t>
      </w:r>
    </w:p>
    <w:p w14:paraId="377F64E3">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第八条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地方各级人民政府以及有关部门应当组织开展挥发性有机物污染防治知识、有关法律和政策的宣传教育，倡导消费和使用低挥发性有机物含量的产品。</w:t>
      </w:r>
    </w:p>
    <w:p w14:paraId="15AE50BC">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第九条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鼓励社会各界依法有序参与和监督挥发性有机物污染防治工作。相关行业协会应当加强行业自律和监督，并积极参与相关标准制定、技术研究和治理，开展咨询、评估和技术推广等活动。</w:t>
      </w:r>
    </w:p>
    <w:p w14:paraId="03F57377">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生产、进口、销售、使用含有挥发性有机物的</w:t>
      </w:r>
      <w:r>
        <w:rPr>
          <w:rFonts w:hint="eastAsia" w:ascii="仿宋_GB2312" w:hAnsi="仿宋_GB2312" w:eastAsia="仿宋_GB2312" w:cs="仿宋_GB2312"/>
          <w:color w:val="auto"/>
          <w:kern w:val="0"/>
          <w:sz w:val="32"/>
          <w:szCs w:val="32"/>
          <w:highlight w:val="lightGray"/>
        </w:rPr>
        <w:t>原料</w:t>
      </w:r>
      <w:r>
        <w:rPr>
          <w:rFonts w:hint="eastAsia" w:ascii="Times New Roman" w:hAnsi="Times New Roman" w:eastAsia="方正黑体_GBK" w:cs="Times New Roman"/>
          <w:color w:val="auto"/>
          <w:sz w:val="32"/>
          <w:szCs w:val="32"/>
          <w:lang w:val="en-US" w:eastAsia="zh-CN"/>
        </w:rPr>
        <w:t>原辅材料</w:t>
      </w:r>
      <w:r>
        <w:rPr>
          <w:rFonts w:hint="eastAsia" w:ascii="仿宋_GB2312" w:hAnsi="仿宋_GB2312" w:eastAsia="仿宋_GB2312" w:cs="仿宋_GB2312"/>
          <w:color w:val="auto"/>
          <w:kern w:val="0"/>
          <w:sz w:val="32"/>
          <w:szCs w:val="32"/>
        </w:rPr>
        <w:t>和产品，其挥发性有机物含量应当符合相应的限值标准。</w:t>
      </w:r>
      <w:r>
        <w:rPr>
          <w:rFonts w:hint="eastAsia" w:ascii="Times New Roman" w:hAnsi="Times New Roman" w:eastAsia="方正黑体_GBK" w:cs="Times New Roman"/>
          <w:color w:val="auto"/>
          <w:sz w:val="32"/>
          <w:szCs w:val="32"/>
          <w:lang w:val="en-US" w:eastAsia="zh-CN"/>
        </w:rPr>
        <w:t>鼓励生产、进口、销售、使用低毒、低挥发性有机物含量的原辅材料和产品。</w:t>
      </w:r>
    </w:p>
    <w:p w14:paraId="2D14FCE7">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第十一条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省</w:t>
      </w:r>
      <w:r>
        <w:rPr>
          <w:rFonts w:hint="eastAsia" w:ascii="仿宋_GB2312" w:hAnsi="仿宋_GB2312" w:eastAsia="仿宋_GB2312" w:cs="仿宋_GB2312"/>
          <w:color w:val="auto"/>
          <w:kern w:val="0"/>
          <w:sz w:val="32"/>
          <w:szCs w:val="32"/>
          <w:highlight w:val="lightGray"/>
        </w:rPr>
        <w:t>环境保护</w:t>
      </w:r>
      <w:r>
        <w:rPr>
          <w:rFonts w:hint="eastAsia" w:ascii="Times New Roman" w:hAnsi="Times New Roman" w:eastAsia="方正黑体_GBK" w:cs="Times New Roman"/>
          <w:color w:val="auto"/>
          <w:sz w:val="32"/>
          <w:szCs w:val="32"/>
          <w:lang w:val="en-US" w:eastAsia="zh-CN"/>
        </w:rPr>
        <w:t>生态环境</w:t>
      </w:r>
      <w:r>
        <w:rPr>
          <w:rFonts w:hint="eastAsia" w:ascii="仿宋_GB2312" w:hAnsi="仿宋_GB2312" w:eastAsia="仿宋_GB2312" w:cs="仿宋_GB2312"/>
          <w:color w:val="auto"/>
          <w:kern w:val="0"/>
          <w:sz w:val="32"/>
          <w:szCs w:val="32"/>
        </w:rPr>
        <w:t>主管部门应当定期向社会公布重点控制的挥发性有机物名录。县级以上地方人民政府应当采取针对性措施，减少重点控制的挥发性有机物的生产量、使用量和排放量。</w:t>
      </w:r>
    </w:p>
    <w:p w14:paraId="290807B8">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第十二条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省</w:t>
      </w:r>
      <w:r>
        <w:rPr>
          <w:rFonts w:hint="eastAsia" w:ascii="仿宋_GB2312" w:hAnsi="仿宋_GB2312" w:eastAsia="仿宋_GB2312" w:cs="仿宋_GB2312"/>
          <w:color w:val="auto"/>
          <w:kern w:val="0"/>
          <w:sz w:val="32"/>
          <w:szCs w:val="32"/>
          <w:highlight w:val="lightGray"/>
        </w:rPr>
        <w:t>环境保护</w:t>
      </w:r>
      <w:r>
        <w:rPr>
          <w:rFonts w:hint="eastAsia" w:ascii="Times New Roman" w:hAnsi="Times New Roman" w:eastAsia="方正黑体_GBK" w:cs="Times New Roman"/>
          <w:color w:val="auto"/>
          <w:sz w:val="32"/>
          <w:szCs w:val="32"/>
          <w:lang w:val="en-US" w:eastAsia="zh-CN"/>
        </w:rPr>
        <w:t>生态环境</w:t>
      </w:r>
      <w:r>
        <w:rPr>
          <w:rFonts w:hint="eastAsia" w:ascii="仿宋_GB2312" w:hAnsi="仿宋_GB2312" w:eastAsia="仿宋_GB2312" w:cs="仿宋_GB2312"/>
          <w:color w:val="auto"/>
          <w:kern w:val="0"/>
          <w:sz w:val="32"/>
          <w:szCs w:val="32"/>
        </w:rPr>
        <w:t>主管部门会同省</w:t>
      </w:r>
      <w:r>
        <w:rPr>
          <w:rFonts w:hint="eastAsia" w:ascii="仿宋_GB2312" w:hAnsi="仿宋_GB2312" w:eastAsia="仿宋_GB2312" w:cs="仿宋_GB2312"/>
          <w:color w:val="auto"/>
          <w:kern w:val="0"/>
          <w:sz w:val="32"/>
          <w:szCs w:val="32"/>
          <w:highlight w:val="lightGray"/>
        </w:rPr>
        <w:t>质量技术监督</w:t>
      </w:r>
      <w:r>
        <w:rPr>
          <w:rFonts w:hint="eastAsia" w:ascii="Times New Roman" w:hAnsi="Times New Roman" w:eastAsia="方正黑体_GBK" w:cs="Times New Roman"/>
          <w:color w:val="auto"/>
          <w:sz w:val="32"/>
          <w:szCs w:val="32"/>
          <w:lang w:val="en-US" w:eastAsia="zh-CN"/>
        </w:rPr>
        <w:t>市场监督管理</w:t>
      </w:r>
      <w:r>
        <w:rPr>
          <w:rFonts w:hint="eastAsia" w:ascii="仿宋_GB2312" w:hAnsi="仿宋_GB2312" w:eastAsia="仿宋_GB2312" w:cs="仿宋_GB2312"/>
          <w:color w:val="auto"/>
          <w:kern w:val="0"/>
          <w:sz w:val="32"/>
          <w:szCs w:val="32"/>
        </w:rPr>
        <w:t>部门组织制定地方重点行业挥发性有机物排放标准，报省人民政府批准后发布。</w:t>
      </w:r>
    </w:p>
    <w:p w14:paraId="016C7A59">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第十三条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新建、改建、扩建排放挥发性有机物的建设项目，应当依法进行</w:t>
      </w:r>
      <w:r>
        <w:rPr>
          <w:rFonts w:hint="eastAsia" w:ascii="仿宋_GB2312" w:hAnsi="仿宋_GB2312" w:eastAsia="仿宋_GB2312" w:cs="仿宋_GB2312"/>
          <w:color w:val="auto"/>
          <w:kern w:val="0"/>
          <w:sz w:val="32"/>
          <w:szCs w:val="32"/>
          <w:highlight w:val="lightGray"/>
        </w:rPr>
        <w:t>环境影响评价</w:t>
      </w:r>
      <w:r>
        <w:rPr>
          <w:rFonts w:hint="eastAsia" w:ascii="Times New Roman" w:hAnsi="Times New Roman" w:eastAsia="方正黑体_GBK" w:cs="Times New Roman"/>
          <w:color w:val="auto"/>
          <w:sz w:val="32"/>
          <w:szCs w:val="32"/>
          <w:lang w:val="en-US" w:eastAsia="zh-CN"/>
        </w:rPr>
        <w:t>生态环境影响评价</w:t>
      </w:r>
      <w:r>
        <w:rPr>
          <w:rFonts w:hint="eastAsia" w:ascii="仿宋_GB2312" w:hAnsi="仿宋_GB2312" w:eastAsia="仿宋_GB2312" w:cs="仿宋_GB2312"/>
          <w:color w:val="auto"/>
          <w:kern w:val="0"/>
          <w:sz w:val="32"/>
          <w:szCs w:val="32"/>
        </w:rPr>
        <w:t>。新增挥发性有机物排放总量指标的不足部分，可以依照有关规定通过排污权交易取得。</w:t>
      </w:r>
    </w:p>
    <w:p w14:paraId="7397AC9C">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建设项目的环境影响评价文件未经审查或者审查后未予批准的，建设单位不得开工建设。</w:t>
      </w:r>
    </w:p>
    <w:p w14:paraId="76075316">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第十四条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对超过挥发性有机物排放量总量控制指标或者未达到国家和省大气环境质量改善目标的地区，</w:t>
      </w:r>
      <w:r>
        <w:rPr>
          <w:rFonts w:hint="eastAsia" w:ascii="仿宋_GB2312" w:hAnsi="仿宋_GB2312" w:eastAsia="仿宋_GB2312" w:cs="仿宋_GB2312"/>
          <w:color w:val="auto"/>
          <w:kern w:val="0"/>
          <w:sz w:val="32"/>
          <w:szCs w:val="32"/>
          <w:highlight w:val="lightGray"/>
        </w:rPr>
        <w:t>环境保护</w:t>
      </w:r>
      <w:r>
        <w:rPr>
          <w:rFonts w:hint="eastAsia" w:ascii="Times New Roman" w:hAnsi="Times New Roman" w:eastAsia="方正黑体_GBK" w:cs="Times New Roman"/>
          <w:color w:val="auto"/>
          <w:sz w:val="32"/>
          <w:szCs w:val="32"/>
          <w:lang w:val="en-US" w:eastAsia="zh-CN"/>
        </w:rPr>
        <w:t>生态环境</w:t>
      </w:r>
      <w:r>
        <w:rPr>
          <w:rFonts w:hint="eastAsia" w:ascii="仿宋_GB2312" w:hAnsi="仿宋_GB2312" w:eastAsia="仿宋_GB2312" w:cs="仿宋_GB2312"/>
          <w:color w:val="auto"/>
          <w:kern w:val="0"/>
          <w:sz w:val="32"/>
          <w:szCs w:val="32"/>
        </w:rPr>
        <w:t>主管部门可以暂停审批该区域内新增排放挥发性有机物的建设项目的</w:t>
      </w:r>
      <w:r>
        <w:rPr>
          <w:rFonts w:hint="eastAsia" w:ascii="仿宋_GB2312" w:hAnsi="仿宋_GB2312" w:eastAsia="仿宋_GB2312" w:cs="仿宋_GB2312"/>
          <w:color w:val="auto"/>
          <w:kern w:val="0"/>
          <w:sz w:val="32"/>
          <w:szCs w:val="32"/>
          <w:highlight w:val="lightGray"/>
        </w:rPr>
        <w:t>环境影响评价</w:t>
      </w:r>
      <w:r>
        <w:rPr>
          <w:rFonts w:hint="eastAsia" w:ascii="Times New Roman" w:hAnsi="Times New Roman" w:eastAsia="方正黑体_GBK" w:cs="Times New Roman"/>
          <w:color w:val="auto"/>
          <w:sz w:val="32"/>
          <w:szCs w:val="32"/>
          <w:lang w:val="en-US" w:eastAsia="zh-CN"/>
        </w:rPr>
        <w:t>生态环境影响评价</w:t>
      </w:r>
      <w:r>
        <w:rPr>
          <w:rFonts w:hint="eastAsia" w:ascii="Times New Roman" w:hAnsi="Times New Roman" w:eastAsia="方正黑体_GBK" w:cs="Times New Roman"/>
          <w:color w:val="auto"/>
          <w:sz w:val="32"/>
          <w:szCs w:val="32"/>
          <w:lang w:val="en-US" w:eastAsia="zh-CN"/>
        </w:rPr>
        <w:t>报告书、生态环境影响报告表</w:t>
      </w:r>
      <w:r>
        <w:rPr>
          <w:rFonts w:hint="eastAsia" w:ascii="仿宋_GB2312" w:hAnsi="仿宋_GB2312" w:eastAsia="仿宋_GB2312" w:cs="仿宋_GB2312"/>
          <w:color w:val="auto"/>
          <w:kern w:val="0"/>
          <w:sz w:val="32"/>
          <w:szCs w:val="32"/>
          <w:lang w:val="en-US" w:eastAsia="zh-CN"/>
        </w:rPr>
        <w:t>。</w:t>
      </w:r>
    </w:p>
    <w:p w14:paraId="4E5CA3BD">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第十五条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排放挥发性有机物的生产经营者应当履行防治挥发性有机物污染的义务，根据国家和省相关标准以及防治技术指南，采用挥发性有机物污染控制技术，规范操作规程，组织生产经营管理，确保挥发性有机物的排放符合相应的排放标准</w:t>
      </w:r>
      <w:r>
        <w:rPr>
          <w:rFonts w:hint="eastAsia" w:ascii="Times New Roman" w:hAnsi="Times New Roman" w:eastAsia="方正黑体_GBK" w:cs="Times New Roman"/>
          <w:color w:val="auto"/>
          <w:sz w:val="32"/>
          <w:szCs w:val="32"/>
          <w:lang w:val="en-US" w:eastAsia="zh-CN"/>
        </w:rPr>
        <w:t>、重点污染物排放总量控制指标、排污许可管理和有关法律、法规、规章的要求</w:t>
      </w:r>
      <w:r>
        <w:rPr>
          <w:rFonts w:hint="eastAsia" w:ascii="仿宋_GB2312" w:hAnsi="仿宋_GB2312" w:eastAsia="仿宋_GB2312" w:cs="仿宋_GB2312"/>
          <w:color w:val="auto"/>
          <w:kern w:val="0"/>
          <w:sz w:val="32"/>
          <w:szCs w:val="32"/>
        </w:rPr>
        <w:t>。</w:t>
      </w:r>
    </w:p>
    <w:p w14:paraId="4F5890EE">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第十六条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挥发性有机物排放应当在排污许可分类管理名录规定的时限内按照排污许可证载明的要求进行；禁止无证排污或者不按证排污。</w:t>
      </w:r>
    </w:p>
    <w:p w14:paraId="1F29F7A9">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排污许可证核发机关应当根据挥发性有机物排放标准、总量控制指标、</w:t>
      </w:r>
      <w:r>
        <w:rPr>
          <w:rFonts w:hint="eastAsia" w:ascii="仿宋_GB2312" w:hAnsi="仿宋_GB2312" w:eastAsia="仿宋_GB2312" w:cs="仿宋_GB2312"/>
          <w:color w:val="auto"/>
          <w:kern w:val="0"/>
          <w:sz w:val="32"/>
          <w:szCs w:val="32"/>
          <w:highlight w:val="lightGray"/>
        </w:rPr>
        <w:t>环境影响评价</w:t>
      </w:r>
      <w:r>
        <w:rPr>
          <w:rFonts w:hint="eastAsia" w:ascii="Times New Roman" w:hAnsi="Times New Roman" w:eastAsia="方正黑体_GBK" w:cs="Times New Roman"/>
          <w:color w:val="auto"/>
          <w:sz w:val="32"/>
          <w:szCs w:val="32"/>
          <w:lang w:val="en-US" w:eastAsia="zh-CN"/>
        </w:rPr>
        <w:t>生态环境影响评价</w:t>
      </w:r>
      <w:r>
        <w:rPr>
          <w:rFonts w:hint="eastAsia" w:ascii="仿宋_GB2312" w:hAnsi="仿宋_GB2312" w:eastAsia="仿宋_GB2312" w:cs="仿宋_GB2312"/>
          <w:color w:val="auto"/>
          <w:kern w:val="0"/>
          <w:sz w:val="32"/>
          <w:szCs w:val="32"/>
        </w:rPr>
        <w:t>文件以及相关批复要求等，依法合理确定挥发性有机物的排放种类、浓度以及排放量。</w:t>
      </w:r>
    </w:p>
    <w:p w14:paraId="4395DFA0">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第十七条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挥发性有机物</w:t>
      </w:r>
      <w:r>
        <w:rPr>
          <w:rFonts w:hint="eastAsia" w:ascii="仿宋_GB2312" w:hAnsi="仿宋_GB2312" w:eastAsia="仿宋_GB2312" w:cs="仿宋_GB2312"/>
          <w:color w:val="auto"/>
          <w:kern w:val="0"/>
          <w:sz w:val="32"/>
          <w:szCs w:val="32"/>
          <w:highlight w:val="none"/>
        </w:rPr>
        <w:t>排放</w:t>
      </w:r>
      <w:r>
        <w:rPr>
          <w:rFonts w:hint="eastAsia" w:ascii="仿宋_GB2312" w:hAnsi="仿宋_GB2312" w:eastAsia="仿宋_GB2312" w:cs="仿宋_GB2312"/>
          <w:color w:val="auto"/>
          <w:kern w:val="0"/>
          <w:sz w:val="32"/>
          <w:szCs w:val="32"/>
          <w:highlight w:val="lightGray"/>
        </w:rPr>
        <w:t>单位</w:t>
      </w:r>
      <w:r>
        <w:rPr>
          <w:rFonts w:hint="eastAsia" w:ascii="Times New Roman" w:hAnsi="Times New Roman" w:eastAsia="方正黑体_GBK" w:cs="Times New Roman"/>
          <w:color w:val="auto"/>
          <w:sz w:val="32"/>
          <w:szCs w:val="32"/>
          <w:lang w:val="en-US" w:eastAsia="zh-CN"/>
        </w:rPr>
        <w:t>实行排污许可管理的企业事业单位和其他生产经营者</w:t>
      </w:r>
      <w:r>
        <w:rPr>
          <w:rFonts w:hint="eastAsia" w:ascii="仿宋_GB2312" w:hAnsi="仿宋_GB2312" w:eastAsia="仿宋_GB2312" w:cs="仿宋_GB2312"/>
          <w:color w:val="auto"/>
          <w:kern w:val="0"/>
          <w:sz w:val="32"/>
          <w:szCs w:val="32"/>
        </w:rPr>
        <w:t>应当按照有关规定和监测规范自行或者委托有关监测机构对其排放的挥发性有机物进行监测，记录、保存监测数据，并按照规定向社会公开。</w:t>
      </w:r>
    </w:p>
    <w:p w14:paraId="10FEB064">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监测数据应当真实、可靠，保存时间不得少于</w:t>
      </w:r>
      <w:r>
        <w:rPr>
          <w:rFonts w:hint="eastAsia" w:ascii="仿宋_GB2312" w:hAnsi="仿宋_GB2312" w:eastAsia="仿宋_GB2312" w:cs="仿宋_GB2312"/>
          <w:color w:val="auto"/>
          <w:kern w:val="0"/>
          <w:sz w:val="32"/>
          <w:szCs w:val="32"/>
          <w:highlight w:val="lightGray"/>
        </w:rPr>
        <w:t>3</w:t>
      </w:r>
      <w:r>
        <w:rPr>
          <w:rFonts w:hint="default" w:ascii="Times New Roman" w:hAnsi="Times New Roman" w:eastAsia="方正黑体_GBK" w:cs="Times New Roman"/>
          <w:color w:val="auto"/>
          <w:sz w:val="32"/>
          <w:szCs w:val="32"/>
          <w:lang w:val="en-US" w:eastAsia="zh-CN"/>
        </w:rPr>
        <w:t>5</w:t>
      </w:r>
      <w:r>
        <w:rPr>
          <w:rFonts w:hint="eastAsia" w:ascii="仿宋_GB2312" w:hAnsi="仿宋_GB2312" w:eastAsia="仿宋_GB2312" w:cs="仿宋_GB2312"/>
          <w:color w:val="auto"/>
          <w:kern w:val="0"/>
          <w:sz w:val="32"/>
          <w:szCs w:val="32"/>
        </w:rPr>
        <w:t>年。</w:t>
      </w:r>
    </w:p>
    <w:p w14:paraId="208C345A">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第十八条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挥发性有机物排放重点单位应当按照有关规定和监测规范安装挥发性有机物自动监测设备，与</w:t>
      </w:r>
      <w:r>
        <w:rPr>
          <w:rFonts w:hint="eastAsia" w:ascii="仿宋_GB2312" w:hAnsi="仿宋_GB2312" w:eastAsia="仿宋_GB2312" w:cs="仿宋_GB2312"/>
          <w:color w:val="auto"/>
          <w:kern w:val="0"/>
          <w:sz w:val="32"/>
          <w:szCs w:val="32"/>
          <w:highlight w:val="lightGray"/>
        </w:rPr>
        <w:t>环境保护</w:t>
      </w:r>
      <w:r>
        <w:rPr>
          <w:rFonts w:hint="eastAsia" w:ascii="Times New Roman" w:hAnsi="Times New Roman" w:eastAsia="方正黑体_GBK" w:cs="Times New Roman"/>
          <w:color w:val="auto"/>
          <w:sz w:val="32"/>
          <w:szCs w:val="32"/>
          <w:lang w:val="en-US" w:eastAsia="zh-CN"/>
        </w:rPr>
        <w:t>生态环境</w:t>
      </w:r>
      <w:r>
        <w:rPr>
          <w:rFonts w:hint="eastAsia" w:ascii="仿宋_GB2312" w:hAnsi="仿宋_GB2312" w:eastAsia="仿宋_GB2312" w:cs="仿宋_GB2312"/>
          <w:color w:val="auto"/>
          <w:kern w:val="0"/>
          <w:sz w:val="32"/>
          <w:szCs w:val="32"/>
        </w:rPr>
        <w:t>主管部门的监控系统联网，保证其正常运行和数据传输，并按照规定如实向社会公开相关数据和信息，接受社会监督。</w:t>
      </w:r>
    </w:p>
    <w:p w14:paraId="6CD1B439">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挥发性有机物排放重点单位名录由</w:t>
      </w:r>
      <w:r>
        <w:rPr>
          <w:rFonts w:hint="eastAsia" w:ascii="仿宋_GB2312" w:hAnsi="仿宋_GB2312" w:eastAsia="仿宋_GB2312" w:cs="仿宋_GB2312"/>
          <w:color w:val="auto"/>
          <w:kern w:val="0"/>
          <w:sz w:val="32"/>
          <w:szCs w:val="32"/>
          <w:highlight w:val="lightGray"/>
        </w:rPr>
        <w:t>环境保护</w:t>
      </w:r>
      <w:r>
        <w:rPr>
          <w:rFonts w:hint="eastAsia" w:ascii="Times New Roman" w:hAnsi="Times New Roman" w:eastAsia="方正黑体_GBK" w:cs="Times New Roman"/>
          <w:color w:val="auto"/>
          <w:sz w:val="32"/>
          <w:szCs w:val="32"/>
          <w:lang w:val="en-US" w:eastAsia="zh-CN"/>
        </w:rPr>
        <w:t>生态环境</w:t>
      </w:r>
      <w:r>
        <w:rPr>
          <w:rFonts w:hint="eastAsia" w:ascii="仿宋_GB2312" w:hAnsi="仿宋_GB2312" w:eastAsia="仿宋_GB2312" w:cs="仿宋_GB2312"/>
          <w:color w:val="auto"/>
          <w:kern w:val="0"/>
          <w:sz w:val="32"/>
          <w:szCs w:val="32"/>
        </w:rPr>
        <w:t>主管部门定期公布。</w:t>
      </w:r>
    </w:p>
    <w:p w14:paraId="15DA0E89">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第十九条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highlight w:val="lightGray"/>
        </w:rPr>
        <w:t>环境保护</w:t>
      </w:r>
      <w:r>
        <w:rPr>
          <w:rFonts w:hint="eastAsia" w:ascii="Times New Roman" w:hAnsi="Times New Roman" w:eastAsia="方正黑体_GBK" w:cs="Times New Roman"/>
          <w:color w:val="auto"/>
          <w:sz w:val="32"/>
          <w:szCs w:val="32"/>
          <w:lang w:val="en-US" w:eastAsia="zh-CN"/>
        </w:rPr>
        <w:t>生态环境</w:t>
      </w:r>
      <w:r>
        <w:rPr>
          <w:rFonts w:hint="eastAsia" w:ascii="仿宋_GB2312" w:hAnsi="仿宋_GB2312" w:eastAsia="仿宋_GB2312" w:cs="仿宋_GB2312"/>
          <w:color w:val="auto"/>
          <w:kern w:val="0"/>
          <w:sz w:val="32"/>
          <w:szCs w:val="32"/>
        </w:rPr>
        <w:t>主管部门应当配备挥发性有机物监测设备和人员，监督检查挥发性有机物的排放和治理情况，并定期向社会公布挥发性有机物排放超标单位名单。</w:t>
      </w:r>
    </w:p>
    <w:p w14:paraId="6DA1A73F">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排放挥发性有机物不符合相关标准、技术规范等要求的，</w:t>
      </w:r>
      <w:r>
        <w:rPr>
          <w:rFonts w:hint="eastAsia" w:ascii="仿宋_GB2312" w:hAnsi="仿宋_GB2312" w:eastAsia="仿宋_GB2312" w:cs="仿宋_GB2312"/>
          <w:color w:val="auto"/>
          <w:kern w:val="0"/>
          <w:sz w:val="32"/>
          <w:szCs w:val="32"/>
          <w:highlight w:val="lightGray"/>
        </w:rPr>
        <w:t>环境保护</w:t>
      </w:r>
      <w:r>
        <w:rPr>
          <w:rFonts w:hint="eastAsia" w:ascii="Times New Roman" w:hAnsi="Times New Roman" w:eastAsia="方正黑体_GBK" w:cs="Times New Roman"/>
          <w:color w:val="auto"/>
          <w:sz w:val="32"/>
          <w:szCs w:val="32"/>
          <w:lang w:val="en-US" w:eastAsia="zh-CN"/>
        </w:rPr>
        <w:t>生态环境</w:t>
      </w:r>
      <w:r>
        <w:rPr>
          <w:rFonts w:hint="eastAsia" w:ascii="仿宋_GB2312" w:hAnsi="仿宋_GB2312" w:eastAsia="仿宋_GB2312" w:cs="仿宋_GB2312"/>
          <w:color w:val="auto"/>
          <w:kern w:val="0"/>
          <w:sz w:val="32"/>
          <w:szCs w:val="32"/>
        </w:rPr>
        <w:t>主管部门应当</w:t>
      </w:r>
      <w:r>
        <w:rPr>
          <w:rFonts w:hint="eastAsia" w:ascii="仿宋_GB2312" w:hAnsi="仿宋_GB2312" w:eastAsia="仿宋_GB2312" w:cs="仿宋_GB2312"/>
          <w:color w:val="auto"/>
          <w:kern w:val="0"/>
          <w:sz w:val="32"/>
          <w:szCs w:val="32"/>
          <w:highlight w:val="lightGray"/>
        </w:rPr>
        <w:t>责令其限期整治。</w:t>
      </w:r>
      <w:r>
        <w:rPr>
          <w:rFonts w:hint="eastAsia" w:ascii="Times New Roman" w:hAnsi="Times New Roman" w:eastAsia="方正黑体_GBK" w:cs="Times New Roman"/>
          <w:color w:val="auto"/>
          <w:sz w:val="32"/>
          <w:szCs w:val="32"/>
          <w:lang w:val="en-US" w:eastAsia="zh-CN"/>
        </w:rPr>
        <w:t>责令改正；拒不改正的，可以责令限制生产、停产整治</w:t>
      </w:r>
      <w:r>
        <w:rPr>
          <w:rFonts w:hint="eastAsia" w:ascii="Times New Roman" w:hAnsi="Times New Roman" w:eastAsia="仿宋_GB2312" w:cs="Times New Roman"/>
          <w:color w:val="auto"/>
          <w:sz w:val="28"/>
          <w:szCs w:val="28"/>
        </w:rPr>
        <w:t>。</w:t>
      </w:r>
    </w:p>
    <w:p w14:paraId="5FD3D409">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highlight w:val="lightGray"/>
        </w:rPr>
      </w:pPr>
      <w:r>
        <w:rPr>
          <w:rFonts w:hint="eastAsia" w:ascii="黑体" w:hAnsi="黑体" w:eastAsia="黑体" w:cs="黑体"/>
          <w:color w:val="auto"/>
          <w:kern w:val="0"/>
          <w:sz w:val="32"/>
          <w:szCs w:val="32"/>
        </w:rPr>
        <w:t>第二十条</w:t>
      </w:r>
      <w:r>
        <w:rPr>
          <w:rFonts w:hint="eastAsia" w:ascii="仿宋_GB2312" w:hAnsi="仿宋_GB2312" w:eastAsia="仿宋_GB2312" w:cs="仿宋_GB2312"/>
          <w:color w:val="auto"/>
          <w:kern w:val="0"/>
          <w:sz w:val="32"/>
          <w:szCs w:val="32"/>
          <w:highlight w:val="none"/>
          <w:lang w:eastAsia="zh-CN"/>
        </w:rPr>
        <w:t xml:space="preserve">  </w:t>
      </w:r>
      <w:r>
        <w:rPr>
          <w:rFonts w:hint="eastAsia" w:ascii="仿宋_GB2312" w:hAnsi="仿宋_GB2312" w:eastAsia="仿宋_GB2312" w:cs="仿宋_GB2312"/>
          <w:color w:val="auto"/>
          <w:kern w:val="0"/>
          <w:sz w:val="32"/>
          <w:szCs w:val="32"/>
          <w:highlight w:val="lightGray"/>
        </w:rPr>
        <w:t>省环境保护主管部门组织对本省行政区域内的企业开展环保信用评价和信用管理时，应当将挥发性有机物排放状况纳入企业环保信用评价指标体系。</w:t>
      </w:r>
    </w:p>
    <w:p w14:paraId="21119460">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第二十一条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产生挥发性有机物废气的生产经营活动应当</w:t>
      </w:r>
      <w:r>
        <w:rPr>
          <w:rFonts w:hint="eastAsia" w:ascii="Times New Roman" w:hAnsi="Times New Roman" w:eastAsia="仿宋_GB2312" w:cs="Times New Roman"/>
          <w:color w:val="000000" w:themeColor="text1"/>
          <w:sz w:val="32"/>
          <w:szCs w:val="32"/>
          <w:highlight w:val="lightGray"/>
        </w:rPr>
        <w:t>在</w:t>
      </w:r>
      <w:r>
        <w:rPr>
          <w:rFonts w:hint="eastAsia" w:ascii="Times New Roman" w:hAnsi="Times New Roman" w:eastAsia="仿宋_GB2312" w:cs="Times New Roman"/>
          <w:color w:val="auto"/>
          <w:sz w:val="32"/>
          <w:szCs w:val="32"/>
          <w:highlight w:val="lightGray"/>
        </w:rPr>
        <w:t>密闭空间或密闭设备中进行</w:t>
      </w:r>
      <w:r>
        <w:rPr>
          <w:rFonts w:hint="eastAsia" w:ascii="方正黑体_GBK" w:hAnsi="方正黑体_GBK" w:eastAsia="方正黑体_GBK" w:cs="方正黑体_GBK"/>
          <w:color w:val="auto"/>
          <w:sz w:val="32"/>
          <w:szCs w:val="32"/>
          <w:highlight w:val="none"/>
          <w:lang w:eastAsia="zh-CN"/>
        </w:rPr>
        <w:t>采用先进工艺设备减少无组织排放</w:t>
      </w:r>
      <w:r>
        <w:rPr>
          <w:rFonts w:hint="eastAsia" w:ascii="仿宋_GB2312" w:hAnsi="仿宋_GB2312" w:eastAsia="仿宋_GB2312" w:cs="仿宋_GB2312"/>
          <w:color w:val="auto"/>
          <w:kern w:val="0"/>
          <w:sz w:val="32"/>
          <w:szCs w:val="32"/>
        </w:rPr>
        <w:t>。生产场所、生产设备应当按照环境保护和安全生产等要求设计、安装和有效运行挥发性有机物回收或者净化设施；固体废物、废水、废气处理系统产生的废气应当收集和处理；含有挥发性有机物的物料应当密闭储存、运输、装卸，禁止敞口和露天放置。</w:t>
      </w:r>
    </w:p>
    <w:p w14:paraId="1C25C38C">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无法在密闭空间进行的生产经营活动应当采取有效措施，减少挥发性有机物排放量。</w:t>
      </w:r>
    </w:p>
    <w:p w14:paraId="307D629B">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第二十二条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储油</w:t>
      </w:r>
      <w:r>
        <w:rPr>
          <w:rFonts w:hint="eastAsia" w:ascii="仿宋_GB2312" w:hAnsi="仿宋_GB2312" w:eastAsia="仿宋_GB2312" w:cs="仿宋_GB2312"/>
          <w:color w:val="auto"/>
          <w:kern w:val="0"/>
          <w:sz w:val="32"/>
          <w:szCs w:val="32"/>
          <w:highlight w:val="lightGray"/>
        </w:rPr>
        <w:t>储气</w:t>
      </w:r>
      <w:r>
        <w:rPr>
          <w:rFonts w:hint="eastAsia" w:ascii="仿宋_GB2312" w:hAnsi="仿宋_GB2312" w:eastAsia="仿宋_GB2312" w:cs="仿宋_GB2312"/>
          <w:color w:val="auto"/>
          <w:kern w:val="0"/>
          <w:sz w:val="32"/>
          <w:szCs w:val="32"/>
        </w:rPr>
        <w:t>库、加油</w:t>
      </w:r>
      <w:r>
        <w:rPr>
          <w:rFonts w:hint="eastAsia" w:ascii="仿宋_GB2312" w:hAnsi="仿宋_GB2312" w:eastAsia="仿宋_GB2312" w:cs="仿宋_GB2312"/>
          <w:color w:val="auto"/>
          <w:kern w:val="0"/>
          <w:sz w:val="32"/>
          <w:szCs w:val="32"/>
          <w:highlight w:val="lightGray"/>
        </w:rPr>
        <w:t>加气</w:t>
      </w:r>
      <w:r>
        <w:rPr>
          <w:rFonts w:hint="eastAsia" w:ascii="仿宋_GB2312" w:hAnsi="仿宋_GB2312" w:eastAsia="仿宋_GB2312" w:cs="仿宋_GB2312"/>
          <w:color w:val="auto"/>
          <w:kern w:val="0"/>
          <w:sz w:val="32"/>
          <w:szCs w:val="32"/>
        </w:rPr>
        <w:t>站、原油成品油码头、原油成品油运输船舶和油罐车、</w:t>
      </w:r>
      <w:r>
        <w:rPr>
          <w:rFonts w:hint="eastAsia" w:ascii="Times New Roman" w:hAnsi="Times New Roman" w:eastAsia="方正黑体_GBK" w:cs="Times New Roman"/>
          <w:color w:val="auto"/>
          <w:sz w:val="32"/>
          <w:szCs w:val="32"/>
          <w:lang w:val="en-US" w:eastAsia="zh-CN"/>
        </w:rPr>
        <w:t>铁路罐车</w:t>
      </w:r>
      <w:r>
        <w:rPr>
          <w:rFonts w:hint="eastAsia" w:ascii="Times New Roman" w:hAnsi="Times New Roman" w:eastAsia="方正黑体_GBK" w:cs="Times New Roman"/>
          <w:color w:val="auto"/>
          <w:sz w:val="32"/>
          <w:szCs w:val="32"/>
          <w:highlight w:val="lightGray"/>
          <w:lang w:val="en-US" w:eastAsia="zh-CN"/>
        </w:rPr>
        <w:t>、</w:t>
      </w:r>
      <w:r>
        <w:rPr>
          <w:rFonts w:hint="eastAsia" w:ascii="仿宋_GB2312" w:hAnsi="仿宋_GB2312" w:eastAsia="仿宋_GB2312" w:cs="仿宋_GB2312"/>
          <w:color w:val="auto"/>
          <w:kern w:val="0"/>
          <w:sz w:val="32"/>
          <w:szCs w:val="32"/>
          <w:highlight w:val="lightGray"/>
        </w:rPr>
        <w:t>气罐车</w:t>
      </w:r>
      <w:r>
        <w:rPr>
          <w:rFonts w:hint="eastAsia" w:ascii="仿宋_GB2312" w:hAnsi="仿宋_GB2312" w:eastAsia="仿宋_GB2312" w:cs="仿宋_GB2312"/>
          <w:color w:val="auto"/>
          <w:kern w:val="0"/>
          <w:sz w:val="32"/>
          <w:szCs w:val="32"/>
        </w:rPr>
        <w:t>等，应当按照国家和省有关规定安装并正常使用油气回收装置。</w:t>
      </w:r>
    </w:p>
    <w:p w14:paraId="06F768EB">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第二十三条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加油站、储油库应当按照国家有关规定进行油气排放检测，并向社会公开油气排放检测报告。</w:t>
      </w:r>
    </w:p>
    <w:p w14:paraId="0682B03C">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第二十四条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使用财政资金进行采购的，应当优先采购</w:t>
      </w:r>
      <w:r>
        <w:rPr>
          <w:rFonts w:hint="eastAsia" w:ascii="仿宋_GB2312" w:hAnsi="仿宋_GB2312" w:eastAsia="仿宋_GB2312" w:cs="仿宋_GB2312"/>
          <w:color w:val="auto"/>
          <w:kern w:val="0"/>
          <w:sz w:val="32"/>
          <w:szCs w:val="32"/>
          <w:highlight w:val="lightGray"/>
        </w:rPr>
        <w:t>环境标志产品</w:t>
      </w:r>
      <w:r>
        <w:rPr>
          <w:rFonts w:hint="eastAsia" w:ascii="Times New Roman" w:hAnsi="Times New Roman" w:eastAsia="方正黑体_GBK" w:cs="Times New Roman"/>
          <w:color w:val="auto"/>
          <w:sz w:val="32"/>
          <w:szCs w:val="32"/>
          <w:lang w:val="en-US" w:eastAsia="zh-CN"/>
        </w:rPr>
        <w:t>绿色低碳产品</w:t>
      </w:r>
      <w:r>
        <w:rPr>
          <w:rFonts w:hint="eastAsia" w:ascii="仿宋_GB2312" w:hAnsi="仿宋_GB2312" w:eastAsia="仿宋_GB2312" w:cs="仿宋_GB2312"/>
          <w:color w:val="auto"/>
          <w:kern w:val="0"/>
          <w:sz w:val="32"/>
          <w:szCs w:val="32"/>
        </w:rPr>
        <w:t>和低挥发性有机物含量的产品。政府投资建设的公用建筑，应当使用低挥发性有机物含量的涂料。</w:t>
      </w:r>
    </w:p>
    <w:p w14:paraId="3FD5575D">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第二十五条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医院、学校和幼托机构等公共场所的环境敏感区域内，禁止使用高挥发性有机物含量的产品。</w:t>
      </w:r>
    </w:p>
    <w:p w14:paraId="02159CA8">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第二十六条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洗染经营者应当按照要求对列入淘汰目录的干洗设备进行淘汰，使用密闭式干洗设备。</w:t>
      </w:r>
    </w:p>
    <w:p w14:paraId="6EC48A56">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干洗剂、染色剂应当</w:t>
      </w:r>
      <w:r>
        <w:rPr>
          <w:rFonts w:hint="eastAsia" w:ascii="Times New Roman" w:hAnsi="Times New Roman" w:eastAsia="方正黑体_GBK" w:cs="Times New Roman"/>
          <w:color w:val="auto"/>
          <w:sz w:val="32"/>
          <w:szCs w:val="32"/>
          <w:lang w:val="en-US" w:eastAsia="zh-CN"/>
        </w:rPr>
        <w:t>在保障安全生产的前提下</w:t>
      </w:r>
      <w:r>
        <w:rPr>
          <w:rFonts w:hint="eastAsia" w:ascii="仿宋_GB2312" w:hAnsi="仿宋_GB2312" w:eastAsia="仿宋_GB2312" w:cs="仿宋_GB2312"/>
          <w:color w:val="auto"/>
          <w:kern w:val="0"/>
          <w:sz w:val="32"/>
          <w:szCs w:val="32"/>
        </w:rPr>
        <w:t>密闭储存，废弃物残渣、废溶剂残渣应当密封存放和回收处理。</w:t>
      </w:r>
    </w:p>
    <w:p w14:paraId="5D97E3CE">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第二十七条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机动车维修经营者应当使用符合相关挥发性有机物含量限值标准的涂料。</w:t>
      </w:r>
    </w:p>
    <w:p w14:paraId="0D6D3576">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喷涂、烘干作业</w:t>
      </w:r>
      <w:r>
        <w:rPr>
          <w:rFonts w:hint="eastAsia" w:ascii="Times New Roman" w:hAnsi="Times New Roman" w:eastAsia="方正黑体_GBK" w:cs="Times New Roman"/>
          <w:color w:val="auto"/>
          <w:sz w:val="32"/>
          <w:szCs w:val="32"/>
          <w:lang w:val="en-US" w:eastAsia="zh-CN"/>
        </w:rPr>
        <w:t>在保障安全生产的前提下</w:t>
      </w:r>
      <w:r>
        <w:rPr>
          <w:rFonts w:hint="eastAsia" w:ascii="仿宋_GB2312" w:hAnsi="仿宋_GB2312" w:eastAsia="仿宋_GB2312" w:cs="仿宋_GB2312"/>
          <w:color w:val="auto"/>
          <w:kern w:val="0"/>
          <w:sz w:val="32"/>
          <w:szCs w:val="32"/>
        </w:rPr>
        <w:t>应当在装有废气处理或者收集装置的密闭车间内进行；禁止露天喷涂、烘干作业。</w:t>
      </w:r>
    </w:p>
    <w:p w14:paraId="56AE52B6">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第二十八条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农业、林业等主管部门应当推进非有机溶剂型农药等产品推广应用，减少挥发性有机物排放。</w:t>
      </w:r>
    </w:p>
    <w:p w14:paraId="0AF7EB4F">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第二十九条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生产经营和服务等活动中产生含有挥发性有机物的废气泄露、逸散，影响周边居民生活、造成环境污染，或者经仪器测定挥发性有机物排放量超过限值标准的，由</w:t>
      </w:r>
      <w:r>
        <w:rPr>
          <w:rFonts w:hint="eastAsia" w:ascii="仿宋_GB2312" w:hAnsi="仿宋_GB2312" w:eastAsia="仿宋_GB2312" w:cs="仿宋_GB2312"/>
          <w:color w:val="auto"/>
          <w:kern w:val="0"/>
          <w:sz w:val="32"/>
          <w:szCs w:val="32"/>
          <w:highlight w:val="lightGray"/>
        </w:rPr>
        <w:t>环境保护</w:t>
      </w:r>
      <w:r>
        <w:rPr>
          <w:rFonts w:hint="eastAsia" w:ascii="Times New Roman" w:hAnsi="Times New Roman" w:eastAsia="方正黑体_GBK" w:cs="Times New Roman"/>
          <w:color w:val="auto"/>
          <w:sz w:val="32"/>
          <w:szCs w:val="32"/>
          <w:lang w:val="en-US" w:eastAsia="zh-CN"/>
        </w:rPr>
        <w:t>生态环境</w:t>
      </w:r>
      <w:r>
        <w:rPr>
          <w:rFonts w:hint="eastAsia" w:ascii="仿宋_GB2312" w:hAnsi="仿宋_GB2312" w:eastAsia="仿宋_GB2312" w:cs="仿宋_GB2312"/>
          <w:color w:val="auto"/>
          <w:kern w:val="0"/>
          <w:sz w:val="32"/>
          <w:szCs w:val="32"/>
        </w:rPr>
        <w:t>主管部门或者其他依法行使监督管理权的部门依法予以处罚。</w:t>
      </w:r>
      <w:bookmarkStart w:id="0" w:name="_GoBack"/>
      <w:bookmarkEnd w:id="0"/>
    </w:p>
    <w:p w14:paraId="7785CA0A">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第三十条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本办法自2018年5月1日起施行。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Times New Roman"/>
    <w:panose1 w:val="020F0502020204030204"/>
    <w:charset w:val="00"/>
    <w:family w:val="swiss"/>
    <w:pitch w:val="default"/>
    <w:sig w:usb0="00000000" w:usb1="00000000" w:usb2="00000001" w:usb3="00000000" w:csb0="0000019F" w:csb1="00000000"/>
  </w:font>
  <w:font w:name="方正小标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Times">
    <w:altName w:val="Times New Roman"/>
    <w:panose1 w:val="02020603050405020304"/>
    <w:charset w:val="00"/>
    <w:family w:val="roman"/>
    <w:pitch w:val="default"/>
    <w:sig w:usb0="00000000" w:usb1="00000000" w:usb2="00000008" w:usb3="00000000" w:csb0="000001F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C059">
    <w:panose1 w:val="00000500000000000000"/>
    <w:charset w:val="00"/>
    <w:family w:val="auto"/>
    <w:pitch w:val="default"/>
    <w:sig w:usb0="00000287" w:usb1="00000800" w:usb2="00000000" w:usb3="00000000" w:csb0="6000009F" w:csb1="00000000"/>
  </w:font>
  <w:font w:name="MathJax_Vector">
    <w:panose1 w:val="02000603000000000000"/>
    <w:charset w:val="00"/>
    <w:family w:val="auto"/>
    <w:pitch w:val="default"/>
    <w:sig w:usb0="00000001" w:usb1="00000020" w:usb2="00000000" w:usb3="00000000" w:csb0="00000001"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6CA9"/>
    <w:rsid w:val="002953CE"/>
    <w:rsid w:val="00644EA2"/>
    <w:rsid w:val="00801853"/>
    <w:rsid w:val="008D4897"/>
    <w:rsid w:val="00A56CA9"/>
    <w:rsid w:val="00A750DF"/>
    <w:rsid w:val="00AF4AC7"/>
    <w:rsid w:val="00D7002B"/>
    <w:rsid w:val="0F263C6F"/>
    <w:rsid w:val="0FF1140C"/>
    <w:rsid w:val="30F46056"/>
    <w:rsid w:val="566273F2"/>
    <w:rsid w:val="56AA0023"/>
    <w:rsid w:val="5C2C7702"/>
    <w:rsid w:val="5DF3781C"/>
    <w:rsid w:val="61972030"/>
    <w:rsid w:val="6CE40B97"/>
    <w:rsid w:val="F3CFBE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semiHidden/>
    <w:unhideWhenUsed/>
    <w:qFormat/>
    <w:uiPriority w:val="99"/>
    <w:pPr>
      <w:tabs>
        <w:tab w:val="center" w:pos="4153"/>
        <w:tab w:val="right" w:pos="8306"/>
      </w:tabs>
      <w:snapToGrid w:val="0"/>
      <w:jc w:val="left"/>
    </w:pPr>
    <w:rPr>
      <w:sz w:val="18"/>
      <w:szCs w:val="18"/>
    </w:rPr>
  </w:style>
  <w:style w:type="paragraph" w:styleId="3">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Strong"/>
    <w:basedOn w:val="5"/>
    <w:qFormat/>
    <w:uiPriority w:val="22"/>
    <w:rPr>
      <w:b/>
      <w:bCs/>
    </w:rPr>
  </w:style>
  <w:style w:type="character" w:customStyle="1" w:styleId="7">
    <w:name w:val="time2"/>
    <w:basedOn w:val="5"/>
    <w:qFormat/>
    <w:uiPriority w:val="0"/>
    <w:rPr>
      <w:color w:val="505050"/>
      <w:sz w:val="29"/>
      <w:szCs w:val="29"/>
    </w:rPr>
  </w:style>
  <w:style w:type="character" w:customStyle="1" w:styleId="8">
    <w:name w:val="sizes2"/>
    <w:basedOn w:val="5"/>
    <w:qFormat/>
    <w:uiPriority w:val="0"/>
    <w:rPr>
      <w:color w:val="505050"/>
      <w:sz w:val="29"/>
      <w:szCs w:val="29"/>
    </w:rPr>
  </w:style>
  <w:style w:type="character" w:customStyle="1" w:styleId="9">
    <w:name w:val="页眉 Char"/>
    <w:basedOn w:val="5"/>
    <w:link w:val="3"/>
    <w:semiHidden/>
    <w:qFormat/>
    <w:uiPriority w:val="99"/>
    <w:rPr>
      <w:sz w:val="18"/>
      <w:szCs w:val="18"/>
    </w:rPr>
  </w:style>
  <w:style w:type="character" w:customStyle="1" w:styleId="10">
    <w:name w:val="页脚 Char"/>
    <w:basedOn w:val="5"/>
    <w:link w:val="2"/>
    <w:semiHidden/>
    <w:qFormat/>
    <w:uiPriority w:val="99"/>
    <w:rPr>
      <w:sz w:val="18"/>
      <w:szCs w:val="18"/>
    </w:rPr>
  </w:style>
  <w:style w:type="paragraph" w:customStyle="1" w:styleId="11">
    <w:name w:val="标题1"/>
    <w:basedOn w:val="1"/>
    <w:next w:val="1"/>
    <w:qFormat/>
    <w:uiPriority w:val="0"/>
    <w:pPr>
      <w:autoSpaceDE w:val="0"/>
      <w:autoSpaceDN w:val="0"/>
      <w:spacing w:line="760" w:lineRule="atLeast"/>
      <w:ind w:firstLine="0" w:firstLineChars="0"/>
      <w:jc w:val="center"/>
    </w:pPr>
    <w:rPr>
      <w:rFonts w:ascii="方正小标宋_GBK" w:eastAsia="方正小标宋简体"/>
      <w:sz w:val="4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3068</Words>
  <Characters>3087</Characters>
  <Lines>22</Lines>
  <Paragraphs>6</Paragraphs>
  <TotalTime>0</TotalTime>
  <ScaleCrop>false</ScaleCrop>
  <LinksUpToDate>false</LinksUpToDate>
  <CharactersWithSpaces>3148</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2018-05-04T10:18:00Z</dcterms:created>
  <dc:creator>g</dc:creator>
  <cp:lastModifiedBy>思佳</cp:lastModifiedBy>
  <dcterms:modified xsi:type="dcterms:W3CDTF">2026-05-11T11:18:39Z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eyJoZGlkIjoiNmUxYTYyN2Q2OGNlODIwZmVhNTE1OTNmMmJhYTRjMjkiLCJ1c2VySWQiOiIxMjg1MTMzMDIzIn0=</vt:lpwstr>
  </property>
  <property fmtid="{D5CDD505-2E9C-101B-9397-08002B2CF9AE}" pid="3" name="KSOProductBuildVer">
    <vt:lpwstr>2052-12.1.2.23578</vt:lpwstr>
  </property>
  <property fmtid="{D5CDD505-2E9C-101B-9397-08002B2CF9AE}" pid="4" name="ICV">
    <vt:lpwstr>9998516E747FF7E68F4A016A9F04D274_43</vt:lpwstr>
  </property>
</Properties>
</file>