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pacing w:line="580" w:lineRule="exact"/>
        <w:ind w:firstLine="0" w:firstLineChars="0"/>
        <w:rPr>
          <w:rFonts w:hint="eastAsia" w:ascii="方正仿宋_GBK" w:hAnsi="方正仿宋_GBK" w:eastAsia="方正仿宋_GBK" w:cs="方正仿宋_GBK"/>
          <w:b/>
          <w:bCs/>
          <w:sz w:val="32"/>
          <w:szCs w:val="32"/>
        </w:rPr>
      </w:pPr>
      <w:r>
        <w:rPr>
          <w:rFonts w:hint="eastAsia" w:ascii="方正仿宋_GBK" w:hAnsi="方正仿宋_GBK" w:eastAsia="方正仿宋_GBK" w:cs="方正仿宋_GBK"/>
          <w:b/>
          <w:bCs/>
          <w:sz w:val="32"/>
          <w:szCs w:val="32"/>
        </w:rPr>
        <w:t>附件</w:t>
      </w:r>
      <w:r>
        <w:rPr>
          <w:rFonts w:hint="eastAsia" w:ascii="方正仿宋_GBK" w:hAnsi="方正仿宋_GBK" w:eastAsia="方正仿宋_GBK" w:cs="方正仿宋_GBK"/>
          <w:b/>
          <w:bCs/>
          <w:sz w:val="32"/>
          <w:szCs w:val="32"/>
        </w:rPr>
        <w:t>3</w:t>
      </w:r>
    </w:p>
    <w:p>
      <w:pPr>
        <w:adjustRightInd w:val="0"/>
        <w:spacing w:line="580" w:lineRule="exact"/>
        <w:ind w:right="59" w:rightChars="28" w:firstLine="707" w:firstLineChars="136"/>
        <w:rPr>
          <w:rFonts w:eastAsia="黑体"/>
          <w:sz w:val="52"/>
          <w:szCs w:val="52"/>
        </w:rPr>
      </w:pPr>
      <w:bookmarkStart w:id="89" w:name="_GoBack"/>
      <w:bookmarkEnd w:id="89"/>
    </w:p>
    <w:p>
      <w:pPr>
        <w:adjustRightInd w:val="0"/>
        <w:spacing w:line="580" w:lineRule="exact"/>
        <w:ind w:firstLine="707" w:firstLineChars="136"/>
        <w:rPr>
          <w:rFonts w:eastAsia="黑体"/>
          <w:sz w:val="52"/>
          <w:szCs w:val="52"/>
        </w:rPr>
      </w:pPr>
    </w:p>
    <w:p>
      <w:pPr>
        <w:adjustRightInd w:val="0"/>
        <w:spacing w:line="580" w:lineRule="exact"/>
        <w:ind w:firstLine="707" w:firstLineChars="136"/>
        <w:rPr>
          <w:rFonts w:eastAsia="黑体"/>
          <w:sz w:val="52"/>
          <w:szCs w:val="52"/>
        </w:rPr>
      </w:pPr>
    </w:p>
    <w:p>
      <w:pPr>
        <w:adjustRightInd w:val="0"/>
        <w:spacing w:line="580" w:lineRule="exact"/>
        <w:ind w:firstLine="707" w:firstLineChars="136"/>
        <w:rPr>
          <w:rFonts w:eastAsia="黑体"/>
          <w:sz w:val="52"/>
          <w:szCs w:val="52"/>
        </w:rPr>
      </w:pPr>
    </w:p>
    <w:p>
      <w:pPr>
        <w:adjustRightInd w:val="0"/>
        <w:spacing w:line="580" w:lineRule="exact"/>
        <w:ind w:firstLine="490" w:firstLineChars="136"/>
        <w:jc w:val="center"/>
        <w:rPr>
          <w:rFonts w:eastAsia="黑体"/>
          <w:sz w:val="36"/>
          <w:szCs w:val="36"/>
        </w:rPr>
      </w:pPr>
      <w:r>
        <w:rPr>
          <w:rFonts w:eastAsia="黑体"/>
          <w:sz w:val="36"/>
          <w:szCs w:val="36"/>
        </w:rPr>
        <w:t>《纺织染整工业废水中锑污染物排放标准》</w:t>
      </w:r>
    </w:p>
    <w:p>
      <w:pPr>
        <w:adjustRightInd w:val="0"/>
        <w:spacing w:line="580" w:lineRule="exact"/>
        <w:ind w:firstLine="490" w:firstLineChars="136"/>
        <w:jc w:val="center"/>
        <w:rPr>
          <w:rFonts w:eastAsia="黑体"/>
          <w:sz w:val="36"/>
          <w:szCs w:val="36"/>
        </w:rPr>
      </w:pPr>
      <w:r>
        <w:rPr>
          <w:rFonts w:hint="eastAsia" w:eastAsia="黑体"/>
          <w:sz w:val="36"/>
          <w:szCs w:val="36"/>
        </w:rPr>
        <w:t>（</w:t>
      </w:r>
      <w:bookmarkStart w:id="0" w:name="_Hlk505413334"/>
      <w:r>
        <w:rPr>
          <w:rFonts w:hint="eastAsia" w:eastAsia="黑体"/>
          <w:sz w:val="36"/>
          <w:szCs w:val="36"/>
        </w:rPr>
        <w:t>第二次征求意见</w:t>
      </w:r>
      <w:bookmarkEnd w:id="0"/>
      <w:r>
        <w:rPr>
          <w:rFonts w:hint="eastAsia" w:eastAsia="黑体"/>
          <w:sz w:val="36"/>
          <w:szCs w:val="36"/>
        </w:rPr>
        <w:t>稿）</w:t>
      </w:r>
    </w:p>
    <w:p>
      <w:pPr>
        <w:adjustRightInd w:val="0"/>
        <w:spacing w:line="580" w:lineRule="exact"/>
        <w:ind w:firstLine="490" w:firstLineChars="136"/>
        <w:jc w:val="center"/>
        <w:rPr>
          <w:rFonts w:eastAsia="黑体"/>
          <w:sz w:val="36"/>
          <w:szCs w:val="36"/>
        </w:rPr>
      </w:pPr>
      <w:r>
        <w:rPr>
          <w:rFonts w:eastAsia="黑体"/>
          <w:sz w:val="36"/>
          <w:szCs w:val="36"/>
        </w:rPr>
        <w:t>编制说明</w:t>
      </w:r>
    </w:p>
    <w:p>
      <w:pPr>
        <w:adjustRightInd w:val="0"/>
        <w:spacing w:line="580" w:lineRule="exact"/>
        <w:ind w:firstLine="880"/>
        <w:jc w:val="center"/>
        <w:rPr>
          <w:rFonts w:eastAsia="楷体_GB2312"/>
          <w:sz w:val="44"/>
          <w:szCs w:val="44"/>
        </w:rPr>
      </w:pPr>
    </w:p>
    <w:p>
      <w:pPr>
        <w:spacing w:line="560" w:lineRule="exact"/>
        <w:ind w:firstLine="420"/>
        <w:jc w:val="center"/>
        <w:rPr>
          <w:szCs w:val="32"/>
        </w:rPr>
      </w:pPr>
    </w:p>
    <w:p>
      <w:pPr>
        <w:adjustRightInd w:val="0"/>
        <w:spacing w:line="580" w:lineRule="exact"/>
        <w:ind w:firstLine="720"/>
        <w:jc w:val="center"/>
        <w:rPr>
          <w:rFonts w:eastAsia="楷体_GB2312"/>
          <w:sz w:val="36"/>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420"/>
        <w:jc w:val="center"/>
        <w:rPr>
          <w:rFonts w:eastAsia="黑体"/>
          <w:szCs w:val="32"/>
        </w:rPr>
      </w:pPr>
    </w:p>
    <w:p>
      <w:pPr>
        <w:adjustRightInd w:val="0"/>
        <w:spacing w:line="580" w:lineRule="exact"/>
        <w:ind w:firstLine="720"/>
        <w:jc w:val="center"/>
        <w:rPr>
          <w:rFonts w:eastAsia="黑体"/>
          <w:sz w:val="36"/>
          <w:szCs w:val="36"/>
        </w:rPr>
      </w:pPr>
    </w:p>
    <w:p>
      <w:pPr>
        <w:spacing w:line="400" w:lineRule="exact"/>
        <w:ind w:firstLine="420"/>
        <w:jc w:val="center"/>
        <w:rPr>
          <w:rFonts w:eastAsia="仿宋_GB2312"/>
          <w:szCs w:val="32"/>
        </w:rPr>
      </w:pPr>
    </w:p>
    <w:p>
      <w:pPr>
        <w:spacing w:line="400" w:lineRule="exact"/>
        <w:ind w:firstLine="0" w:firstLineChars="0"/>
        <w:jc w:val="center"/>
        <w:rPr>
          <w:rFonts w:ascii="黑体" w:hAnsi="黑体" w:eastAsia="黑体"/>
          <w:sz w:val="32"/>
          <w:szCs w:val="32"/>
        </w:rPr>
      </w:pPr>
      <w:r>
        <w:rPr>
          <w:rFonts w:hint="eastAsia" w:ascii="黑体" w:hAnsi="黑体" w:eastAsia="黑体"/>
          <w:sz w:val="32"/>
          <w:szCs w:val="32"/>
        </w:rPr>
        <w:t>江苏省生态环境评估中心</w:t>
      </w:r>
    </w:p>
    <w:p>
      <w:pPr>
        <w:spacing w:line="400" w:lineRule="exact"/>
        <w:ind w:firstLine="0" w:firstLineChars="0"/>
        <w:jc w:val="center"/>
        <w:rPr>
          <w:rFonts w:ascii="黑体" w:hAnsi="黑体" w:eastAsia="黑体"/>
          <w:sz w:val="32"/>
          <w:szCs w:val="32"/>
        </w:rPr>
      </w:pPr>
      <w:r>
        <w:rPr>
          <w:rFonts w:hint="eastAsia" w:ascii="黑体" w:hAnsi="黑体" w:eastAsia="黑体"/>
          <w:sz w:val="32"/>
          <w:szCs w:val="32"/>
        </w:rPr>
        <w:t>苏州市</w:t>
      </w:r>
      <w:r>
        <w:rPr>
          <w:rFonts w:ascii="黑体" w:hAnsi="黑体" w:eastAsia="黑体"/>
          <w:sz w:val="32"/>
          <w:szCs w:val="32"/>
        </w:rPr>
        <w:t>环境科学研究所</w:t>
      </w:r>
    </w:p>
    <w:p>
      <w:pPr>
        <w:spacing w:line="400" w:lineRule="exact"/>
        <w:ind w:firstLine="0" w:firstLineChars="0"/>
        <w:jc w:val="center"/>
        <w:rPr>
          <w:rFonts w:ascii="黑体" w:hAnsi="黑体" w:eastAsia="黑体"/>
          <w:sz w:val="36"/>
          <w:szCs w:val="36"/>
        </w:rPr>
      </w:pPr>
      <w:r>
        <w:rPr>
          <w:rFonts w:hint="eastAsia" w:ascii="黑体" w:hAnsi="黑体" w:eastAsia="黑体"/>
          <w:sz w:val="32"/>
          <w:szCs w:val="32"/>
        </w:rPr>
        <w:t>二</w:t>
      </w:r>
      <w:r>
        <w:rPr>
          <w:rFonts w:hint="eastAsia" w:ascii="黑体" w:hAnsi="黑体" w:eastAsia="黑体" w:cs="宋体"/>
          <w:sz w:val="32"/>
          <w:szCs w:val="32"/>
        </w:rPr>
        <w:t>〇</w:t>
      </w:r>
      <w:r>
        <w:rPr>
          <w:rFonts w:hint="eastAsia" w:ascii="黑体" w:hAnsi="黑体" w:eastAsia="黑体" w:cs="仿宋_GB2312"/>
          <w:sz w:val="32"/>
          <w:szCs w:val="32"/>
        </w:rPr>
        <w:t>一</w:t>
      </w:r>
      <w:r>
        <w:rPr>
          <w:rFonts w:hint="eastAsia" w:ascii="黑体" w:hAnsi="黑体" w:eastAsia="黑体"/>
          <w:sz w:val="32"/>
          <w:szCs w:val="32"/>
        </w:rPr>
        <w:t>八年二月</w:t>
      </w:r>
    </w:p>
    <w:p>
      <w:pPr>
        <w:spacing w:line="400" w:lineRule="exact"/>
        <w:ind w:firstLine="624" w:firstLineChars="0"/>
        <w:rPr>
          <w:rFonts w:eastAsia="方正仿宋_GBK"/>
          <w:b/>
          <w:sz w:val="28"/>
        </w:rPr>
      </w:pPr>
    </w:p>
    <w:p>
      <w:pPr>
        <w:widowControl/>
        <w:snapToGrid/>
        <w:ind w:firstLine="0" w:firstLineChars="0"/>
        <w:jc w:val="left"/>
        <w:rPr>
          <w:rFonts w:eastAsia="黑体"/>
          <w:sz w:val="52"/>
          <w:szCs w:val="52"/>
        </w:rPr>
      </w:pPr>
    </w:p>
    <w:p>
      <w:pPr>
        <w:adjustRightInd w:val="0"/>
        <w:spacing w:line="360" w:lineRule="auto"/>
        <w:ind w:firstLine="0" w:firstLineChars="0"/>
        <w:jc w:val="center"/>
        <w:rPr>
          <w:rFonts w:eastAsia="黑体"/>
          <w:sz w:val="36"/>
          <w:szCs w:val="36"/>
        </w:rPr>
        <w:sectPr>
          <w:headerReference r:id="rId6" w:type="first"/>
          <w:footerReference r:id="rId9" w:type="first"/>
          <w:headerReference r:id="rId4" w:type="default"/>
          <w:footerReference r:id="rId7" w:type="default"/>
          <w:headerReference r:id="rId5" w:type="even"/>
          <w:footerReference r:id="rId8" w:type="even"/>
          <w:type w:val="continuous"/>
          <w:pgSz w:w="11906" w:h="16838"/>
          <w:pgMar w:top="1440" w:right="1797" w:bottom="1440" w:left="1797" w:header="851" w:footer="992" w:gutter="0"/>
          <w:pgNumType w:fmt="lowerRoman" w:start="1"/>
          <w:cols w:space="720" w:num="1"/>
          <w:docGrid w:type="lines" w:linePitch="435" w:charSpace="0"/>
        </w:sectPr>
      </w:pPr>
    </w:p>
    <w:p>
      <w:pPr>
        <w:pStyle w:val="39"/>
        <w:adjustRightInd w:val="0"/>
        <w:snapToGrid w:val="0"/>
        <w:spacing w:before="120" w:line="240" w:lineRule="auto"/>
        <w:jc w:val="center"/>
        <w:rPr>
          <w:rFonts w:ascii="方正黑体_GBK" w:eastAsia="方正黑体_GBK"/>
          <w:color w:val="auto"/>
          <w:lang w:val="zh-CN"/>
        </w:rPr>
      </w:pPr>
      <w:r>
        <w:rPr>
          <w:rFonts w:ascii="方正黑体_GBK" w:eastAsia="方正黑体_GBK"/>
          <w:color w:val="auto"/>
          <w:lang w:val="zh-CN"/>
        </w:rPr>
        <w:t>目</w:t>
      </w:r>
      <w:r>
        <w:rPr>
          <w:rFonts w:hint="eastAsia" w:ascii="方正黑体_GBK" w:eastAsia="方正黑体_GBK"/>
          <w:color w:val="auto"/>
          <w:lang w:val="zh-CN"/>
        </w:rPr>
        <w:t xml:space="preserve">  </w:t>
      </w:r>
      <w:r>
        <w:rPr>
          <w:rFonts w:ascii="方正黑体_GBK" w:eastAsia="方正黑体_GBK"/>
          <w:color w:val="auto"/>
          <w:lang w:val="zh-CN"/>
        </w:rPr>
        <w:t>录</w:t>
      </w:r>
    </w:p>
    <w:p>
      <w:pPr>
        <w:ind w:firstLine="420"/>
        <w:rPr>
          <w:lang w:val="zh-CN"/>
        </w:rPr>
      </w:pPr>
    </w:p>
    <w:p>
      <w:pPr>
        <w:pStyle w:val="19"/>
        <w:tabs>
          <w:tab w:val="right" w:leader="dot" w:pos="8296"/>
        </w:tabs>
        <w:ind w:firstLine="422"/>
        <w:rPr>
          <w:rFonts w:ascii="Calibri" w:hAnsi="Calibri" w:eastAsia="宋体" w:cs="黑体"/>
          <w:b w:val="0"/>
          <w:bCs w:val="0"/>
          <w:caps w:val="0"/>
          <w:kern w:val="2"/>
          <w:sz w:val="21"/>
          <w:szCs w:val="22"/>
        </w:rPr>
      </w:pPr>
      <w:r>
        <w:rPr>
          <w:rFonts w:ascii="宋体" w:hAnsi="宋体"/>
          <w:sz w:val="21"/>
          <w:szCs w:val="21"/>
          <w:lang w:val="zh-CN"/>
        </w:rPr>
        <w:fldChar w:fldCharType="begin"/>
      </w:r>
      <w:r>
        <w:rPr>
          <w:rFonts w:ascii="宋体" w:hAnsi="宋体"/>
          <w:sz w:val="21"/>
          <w:szCs w:val="21"/>
          <w:lang w:val="zh-CN"/>
        </w:rPr>
        <w:instrText xml:space="preserve"> TOC \o "1-2" \h \z \u </w:instrText>
      </w:r>
      <w:r>
        <w:rPr>
          <w:rFonts w:ascii="宋体" w:hAnsi="宋体"/>
          <w:sz w:val="21"/>
          <w:szCs w:val="21"/>
          <w:lang w:val="zh-CN"/>
        </w:rPr>
        <w:fldChar w:fldCharType="separate"/>
      </w:r>
      <w:r>
        <w:fldChar w:fldCharType="begin"/>
      </w:r>
      <w:r>
        <w:instrText xml:space="preserve">HYPERLINK  \l "_Toc505420220" </w:instrText>
      </w:r>
      <w:r>
        <w:fldChar w:fldCharType="separate"/>
      </w:r>
      <w:r>
        <w:rPr>
          <w:rStyle w:val="31"/>
        </w:rPr>
        <w:t>1 项目背景</w:t>
      </w:r>
      <w:r>
        <w:tab/>
      </w:r>
      <w:r>
        <w:fldChar w:fldCharType="begin"/>
      </w:r>
      <w:r>
        <w:instrText xml:space="preserve"> PAGEREF _Toc505420220 \h </w:instrText>
      </w:r>
      <w:r>
        <w:fldChar w:fldCharType="separate"/>
      </w:r>
      <w:r>
        <w:t>2</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"_Toc505420221" </w:instrText>
      </w:r>
      <w:r>
        <w:fldChar w:fldCharType="separate"/>
      </w:r>
      <w:r>
        <w:rPr>
          <w:rStyle w:val="31"/>
        </w:rPr>
        <w:t>1.1 任务来源</w:t>
      </w:r>
      <w:r>
        <w:tab/>
      </w:r>
      <w:r>
        <w:fldChar w:fldCharType="begin"/>
      </w:r>
      <w:r>
        <w:instrText xml:space="preserve"> PAGEREF _Toc505420221 \h </w:instrText>
      </w:r>
      <w:r>
        <w:fldChar w:fldCharType="separate"/>
      </w:r>
      <w:r>
        <w:t>2</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"_Toc505420222" </w:instrText>
      </w:r>
      <w:r>
        <w:fldChar w:fldCharType="separate"/>
      </w:r>
      <w:r>
        <w:rPr>
          <w:rStyle w:val="31"/>
        </w:rPr>
        <w:t>1.2 工作过程</w:t>
      </w:r>
      <w:r>
        <w:tab/>
      </w:r>
      <w:r>
        <w:fldChar w:fldCharType="begin"/>
      </w:r>
      <w:r>
        <w:instrText xml:space="preserve"> PAGEREF _Toc505420222 \h </w:instrText>
      </w:r>
      <w:r>
        <w:fldChar w:fldCharType="separate"/>
      </w:r>
      <w:r>
        <w:t>2</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"_Toc505420223" </w:instrText>
      </w:r>
      <w:r>
        <w:fldChar w:fldCharType="separate"/>
      </w:r>
      <w:r>
        <w:rPr>
          <w:rStyle w:val="31"/>
        </w:rPr>
        <w:t>2 纺织染整工业概况</w:t>
      </w:r>
      <w:r>
        <w:tab/>
      </w:r>
      <w:r>
        <w:fldChar w:fldCharType="begin"/>
      </w:r>
      <w:r>
        <w:instrText xml:space="preserve"> PAGEREF _Toc505420223 \h </w:instrText>
      </w:r>
      <w:r>
        <w:fldChar w:fldCharType="separate"/>
      </w:r>
      <w:r>
        <w:t>3</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"_Toc505420224" </w:instrText>
      </w:r>
      <w:r>
        <w:fldChar w:fldCharType="separate"/>
      </w:r>
      <w:r>
        <w:rPr>
          <w:rStyle w:val="31"/>
        </w:rPr>
        <w:t>3 标准制定的必要性分析</w:t>
      </w:r>
      <w:r>
        <w:tab/>
      </w:r>
      <w:r>
        <w:fldChar w:fldCharType="begin"/>
      </w:r>
      <w:r>
        <w:instrText xml:space="preserve"> PAGEREF _Toc505420224 \h </w:instrText>
      </w:r>
      <w:r>
        <w:fldChar w:fldCharType="separate"/>
      </w:r>
      <w:r>
        <w:t>3</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"_Toc505420225" </w:instrText>
      </w:r>
      <w:r>
        <w:fldChar w:fldCharType="separate"/>
      </w:r>
      <w:r>
        <w:rPr>
          <w:rStyle w:val="31"/>
        </w:rPr>
        <w:t>4 锑污染物产排污情况及污染控制技术分析</w:t>
      </w:r>
      <w:r>
        <w:tab/>
      </w:r>
      <w:r>
        <w:fldChar w:fldCharType="begin"/>
      </w:r>
      <w:r>
        <w:instrText xml:space="preserve"> PAGEREF _Toc505420225 \h </w:instrText>
      </w:r>
      <w:r>
        <w:fldChar w:fldCharType="separate"/>
      </w:r>
      <w:r>
        <w:t>3</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"_Toc505420226" </w:instrText>
      </w:r>
      <w:r>
        <w:fldChar w:fldCharType="separate"/>
      </w:r>
      <w:r>
        <w:rPr>
          <w:rStyle w:val="31"/>
        </w:rPr>
        <w:t>4.1 锑污染物产污特点分析</w:t>
      </w:r>
      <w:r>
        <w:tab/>
      </w:r>
      <w:r>
        <w:fldChar w:fldCharType="begin"/>
      </w:r>
      <w:r>
        <w:instrText xml:space="preserve"> PAGEREF _Toc505420226 \h </w:instrText>
      </w:r>
      <w:r>
        <w:fldChar w:fldCharType="separate"/>
      </w:r>
      <w:r>
        <w:t>3</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"_Toc505420227" </w:instrText>
      </w:r>
      <w:r>
        <w:fldChar w:fldCharType="separate"/>
      </w:r>
      <w:r>
        <w:rPr>
          <w:rStyle w:val="31"/>
        </w:rPr>
        <w:t>4.2 污染防治技术分析</w:t>
      </w:r>
      <w:r>
        <w:tab/>
      </w:r>
      <w:r>
        <w:fldChar w:fldCharType="begin"/>
      </w:r>
      <w:r>
        <w:instrText xml:space="preserve"> PAGEREF _Toc505420227 \h </w:instrText>
      </w:r>
      <w:r>
        <w:fldChar w:fldCharType="separate"/>
      </w:r>
      <w:r>
        <w:t>4</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"_Toc505420228" </w:instrText>
      </w:r>
      <w:r>
        <w:fldChar w:fldCharType="separate"/>
      </w:r>
      <w:r>
        <w:rPr>
          <w:rStyle w:val="31"/>
        </w:rPr>
        <w:t>5 锑污染物排放的环境影响分析</w:t>
      </w:r>
      <w:r>
        <w:tab/>
      </w:r>
      <w:r>
        <w:fldChar w:fldCharType="begin"/>
      </w:r>
      <w:r>
        <w:instrText xml:space="preserve"> PAGEREF _Toc505420228 \h </w:instrText>
      </w:r>
      <w:r>
        <w:fldChar w:fldCharType="separate"/>
      </w:r>
      <w:r>
        <w:t>6</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"_Toc505420229" </w:instrText>
      </w:r>
      <w:r>
        <w:fldChar w:fldCharType="separate"/>
      </w:r>
      <w:r>
        <w:rPr>
          <w:rStyle w:val="31"/>
        </w:rPr>
        <w:t>5.1 锑的理化性质和生物毒性</w:t>
      </w:r>
      <w:r>
        <w:tab/>
      </w:r>
      <w:r>
        <w:fldChar w:fldCharType="begin"/>
      </w:r>
      <w:r>
        <w:instrText xml:space="preserve"> PAGEREF _Toc505420229 \h </w:instrText>
      </w:r>
      <w:r>
        <w:fldChar w:fldCharType="separate"/>
      </w:r>
      <w:r>
        <w:t>6</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"_Toc505420230" </w:instrText>
      </w:r>
      <w:r>
        <w:fldChar w:fldCharType="separate"/>
      </w:r>
      <w:r>
        <w:rPr>
          <w:rStyle w:val="31"/>
        </w:rPr>
        <w:t>5.2 我国的锑污染事件</w:t>
      </w:r>
      <w:r>
        <w:tab/>
      </w:r>
      <w:r>
        <w:fldChar w:fldCharType="begin"/>
      </w:r>
      <w:r>
        <w:instrText xml:space="preserve"> PAGEREF _Toc505420230 \h </w:instrText>
      </w:r>
      <w:r>
        <w:fldChar w:fldCharType="separate"/>
      </w:r>
      <w:r>
        <w:t>6</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"_Toc505420231" </w:instrText>
      </w:r>
      <w:r>
        <w:fldChar w:fldCharType="separate"/>
      </w:r>
      <w:r>
        <w:rPr>
          <w:rStyle w:val="31"/>
        </w:rPr>
        <w:t>6 标准主要技术内容</w:t>
      </w:r>
      <w:r>
        <w:tab/>
      </w:r>
      <w:r>
        <w:fldChar w:fldCharType="begin"/>
      </w:r>
      <w:r>
        <w:instrText xml:space="preserve"> PAGEREF _Toc505420231 \h </w:instrText>
      </w:r>
      <w:r>
        <w:fldChar w:fldCharType="separate"/>
      </w:r>
      <w:r>
        <w:t>7</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"_Toc505420232" </w:instrText>
      </w:r>
      <w:r>
        <w:fldChar w:fldCharType="separate"/>
      </w:r>
      <w:r>
        <w:rPr>
          <w:rStyle w:val="31"/>
        </w:rPr>
        <w:t>6.1 标准适用范围</w:t>
      </w:r>
      <w:r>
        <w:tab/>
      </w:r>
      <w:r>
        <w:fldChar w:fldCharType="begin"/>
      </w:r>
      <w:r>
        <w:instrText xml:space="preserve"> PAGEREF _Toc505420232 \h </w:instrText>
      </w:r>
      <w:r>
        <w:fldChar w:fldCharType="separate"/>
      </w:r>
      <w:r>
        <w:t>7</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"_Toc505420233" </w:instrText>
      </w:r>
      <w:r>
        <w:fldChar w:fldCharType="separate"/>
      </w:r>
      <w:r>
        <w:rPr>
          <w:rStyle w:val="31"/>
        </w:rPr>
        <w:t>6.2 标准结构框架</w:t>
      </w:r>
      <w:r>
        <w:tab/>
      </w:r>
      <w:r>
        <w:fldChar w:fldCharType="begin"/>
      </w:r>
      <w:r>
        <w:instrText xml:space="preserve"> PAGEREF _Toc505420233 \h </w:instrText>
      </w:r>
      <w:r>
        <w:fldChar w:fldCharType="separate"/>
      </w:r>
      <w:r>
        <w:t>7</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"_Toc505420234" </w:instrText>
      </w:r>
      <w:r>
        <w:fldChar w:fldCharType="separate"/>
      </w:r>
      <w:r>
        <w:rPr>
          <w:rStyle w:val="31"/>
        </w:rPr>
        <w:t>6.3 术语和定义</w:t>
      </w:r>
      <w:r>
        <w:tab/>
      </w:r>
      <w:r>
        <w:fldChar w:fldCharType="begin"/>
      </w:r>
      <w:r>
        <w:instrText xml:space="preserve"> PAGEREF _Toc505420234 \h </w:instrText>
      </w:r>
      <w:r>
        <w:fldChar w:fldCharType="separate"/>
      </w:r>
      <w:r>
        <w:t>7</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"_Toc505420235" </w:instrText>
      </w:r>
      <w:r>
        <w:fldChar w:fldCharType="separate"/>
      </w:r>
      <w:r>
        <w:rPr>
          <w:rStyle w:val="31"/>
        </w:rPr>
        <w:t>6.4 污染物排放限值的制定</w:t>
      </w:r>
      <w:r>
        <w:tab/>
      </w:r>
      <w:r>
        <w:fldChar w:fldCharType="begin"/>
      </w:r>
      <w:r>
        <w:instrText xml:space="preserve"> PAGEREF _Toc505420235 \h </w:instrText>
      </w:r>
      <w:r>
        <w:fldChar w:fldCharType="separate"/>
      </w:r>
      <w:r>
        <w:t>7</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"_Toc505420236" </w:instrText>
      </w:r>
      <w:r>
        <w:fldChar w:fldCharType="separate"/>
      </w:r>
      <w:r>
        <w:rPr>
          <w:rStyle w:val="31"/>
        </w:rPr>
        <w:t>6.5 环境监测要求</w:t>
      </w:r>
      <w:r>
        <w:tab/>
      </w:r>
      <w:r>
        <w:fldChar w:fldCharType="begin"/>
      </w:r>
      <w:r>
        <w:instrText xml:space="preserve"> PAGEREF _Toc505420236 \h </w:instrText>
      </w:r>
      <w:r>
        <w:fldChar w:fldCharType="separate"/>
      </w:r>
      <w:r>
        <w:t>10</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"_Toc505420237" </w:instrText>
      </w:r>
      <w:r>
        <w:fldChar w:fldCharType="separate"/>
      </w:r>
      <w:r>
        <w:rPr>
          <w:rStyle w:val="31"/>
        </w:rPr>
        <w:t>7 国内外相关锑污染物管控标准</w:t>
      </w:r>
      <w:r>
        <w:tab/>
      </w:r>
      <w:r>
        <w:fldChar w:fldCharType="begin"/>
      </w:r>
      <w:r>
        <w:instrText xml:space="preserve"> PAGEREF _Toc505420237 \h </w:instrText>
      </w:r>
      <w:r>
        <w:fldChar w:fldCharType="separate"/>
      </w:r>
      <w:r>
        <w:t>12</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"_Toc505420238" </w:instrText>
      </w:r>
      <w:r>
        <w:fldChar w:fldCharType="separate"/>
      </w:r>
      <w:r>
        <w:rPr>
          <w:rStyle w:val="31"/>
        </w:rPr>
        <w:t>7.1 污染物排放标准</w:t>
      </w:r>
      <w:r>
        <w:tab/>
      </w:r>
      <w:r>
        <w:fldChar w:fldCharType="begin"/>
      </w:r>
      <w:r>
        <w:instrText xml:space="preserve"> PAGEREF _Toc505420238 \h </w:instrText>
      </w:r>
      <w:r>
        <w:fldChar w:fldCharType="separate"/>
      </w:r>
      <w:r>
        <w:t>12</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"_Toc505420239" </w:instrText>
      </w:r>
      <w:r>
        <w:fldChar w:fldCharType="separate"/>
      </w:r>
      <w:r>
        <w:rPr>
          <w:rStyle w:val="31"/>
        </w:rPr>
        <w:t>7.2 环境质量标准</w:t>
      </w:r>
      <w:r>
        <w:tab/>
      </w:r>
      <w:r>
        <w:fldChar w:fldCharType="begin"/>
      </w:r>
      <w:r>
        <w:instrText xml:space="preserve"> PAGEREF _Toc505420239 \h </w:instrText>
      </w:r>
      <w:r>
        <w:fldChar w:fldCharType="separate"/>
      </w:r>
      <w:r>
        <w:t>12</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"_Toc505420240" </w:instrText>
      </w:r>
      <w:r>
        <w:fldChar w:fldCharType="separate"/>
      </w:r>
      <w:r>
        <w:rPr>
          <w:rStyle w:val="31"/>
        </w:rPr>
        <w:t>8 实施本标准的环境效益及经济技术分析</w:t>
      </w:r>
      <w:r>
        <w:tab/>
      </w:r>
      <w:r>
        <w:fldChar w:fldCharType="begin"/>
      </w:r>
      <w:r>
        <w:instrText xml:space="preserve"> PAGEREF _Toc505420240 \h </w:instrText>
      </w:r>
      <w:r>
        <w:fldChar w:fldCharType="separate"/>
      </w:r>
      <w:r>
        <w:t>13</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"_Toc505420241" </w:instrText>
      </w:r>
      <w:r>
        <w:fldChar w:fldCharType="separate"/>
      </w:r>
      <w:r>
        <w:rPr>
          <w:rStyle w:val="31"/>
        </w:rPr>
        <w:t>8.1 实施本标准的环境（减排）效益</w:t>
      </w:r>
      <w:r>
        <w:tab/>
      </w:r>
      <w:r>
        <w:fldChar w:fldCharType="begin"/>
      </w:r>
      <w:r>
        <w:instrText xml:space="preserve"> PAGEREF _Toc505420241 \h </w:instrText>
      </w:r>
      <w:r>
        <w:fldChar w:fldCharType="separate"/>
      </w:r>
      <w:r>
        <w:t>13</w:t>
      </w:r>
      <w:r>
        <w:fldChar w:fldCharType="end"/>
      </w:r>
      <w:r>
        <w:fldChar w:fldCharType="end"/>
      </w:r>
    </w:p>
    <w:p>
      <w:pPr>
        <w:pStyle w:val="23"/>
        <w:tabs>
          <w:tab w:val="right" w:leader="dot" w:pos="8296"/>
        </w:tabs>
        <w:ind w:firstLine="400"/>
        <w:rPr>
          <w:rFonts w:ascii="Calibri" w:hAnsi="Calibri" w:eastAsia="宋体" w:cs="黑体"/>
          <w:smallCaps w:val="0"/>
          <w:kern w:val="2"/>
          <w:sz w:val="21"/>
          <w:szCs w:val="22"/>
        </w:rPr>
      </w:pPr>
      <w:r>
        <w:fldChar w:fldCharType="begin"/>
      </w:r>
      <w:r>
        <w:instrText xml:space="preserve">HYPERLINK  \l "_Toc505420242" </w:instrText>
      </w:r>
      <w:r>
        <w:fldChar w:fldCharType="separate"/>
      </w:r>
      <w:r>
        <w:rPr>
          <w:rStyle w:val="31"/>
        </w:rPr>
        <w:t>8.2 实施本标准的经济技术分析</w:t>
      </w:r>
      <w:r>
        <w:tab/>
      </w:r>
      <w:r>
        <w:fldChar w:fldCharType="begin"/>
      </w:r>
      <w:r>
        <w:instrText xml:space="preserve"> PAGEREF _Toc505420242 \h </w:instrText>
      </w:r>
      <w:r>
        <w:fldChar w:fldCharType="separate"/>
      </w:r>
      <w:r>
        <w:t>14</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"_Toc505420243" </w:instrText>
      </w:r>
      <w:r>
        <w:fldChar w:fldCharType="separate"/>
      </w:r>
      <w:r>
        <w:rPr>
          <w:rStyle w:val="31"/>
        </w:rPr>
        <w:t>9 对实施本标准的建议</w:t>
      </w:r>
      <w:r>
        <w:tab/>
      </w:r>
      <w:r>
        <w:fldChar w:fldCharType="begin"/>
      </w:r>
      <w:r>
        <w:instrText xml:space="preserve"> PAGEREF _Toc505420243 \h </w:instrText>
      </w:r>
      <w:r>
        <w:fldChar w:fldCharType="separate"/>
      </w:r>
      <w:r>
        <w:t>15</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"_Toc505420244" </w:instrText>
      </w:r>
      <w:r>
        <w:fldChar w:fldCharType="separate"/>
      </w:r>
      <w:r>
        <w:rPr>
          <w:rStyle w:val="31"/>
        </w:rPr>
        <w:t>10 标准征求意见情况</w:t>
      </w:r>
      <w:r>
        <w:tab/>
      </w:r>
      <w:r>
        <w:fldChar w:fldCharType="begin"/>
      </w:r>
      <w:r>
        <w:instrText xml:space="preserve"> PAGEREF _Toc505420244 \h </w:instrText>
      </w:r>
      <w:r>
        <w:fldChar w:fldCharType="separate"/>
      </w:r>
      <w:r>
        <w:t>15</w:t>
      </w:r>
      <w:r>
        <w:fldChar w:fldCharType="end"/>
      </w:r>
      <w:r>
        <w:fldChar w:fldCharType="end"/>
      </w:r>
    </w:p>
    <w:p>
      <w:pPr>
        <w:pStyle w:val="19"/>
        <w:tabs>
          <w:tab w:val="right" w:leader="dot" w:pos="8296"/>
        </w:tabs>
        <w:ind w:firstLine="402"/>
        <w:rPr>
          <w:rFonts w:ascii="Calibri" w:hAnsi="Calibri" w:eastAsia="宋体" w:cs="黑体"/>
          <w:b w:val="0"/>
          <w:bCs w:val="0"/>
          <w:caps w:val="0"/>
          <w:kern w:val="2"/>
          <w:sz w:val="21"/>
          <w:szCs w:val="22"/>
        </w:rPr>
      </w:pPr>
      <w:r>
        <w:fldChar w:fldCharType="begin"/>
      </w:r>
      <w:r>
        <w:instrText xml:space="preserve">HYPERLINK  \l "_Toc505420245" </w:instrText>
      </w:r>
      <w:r>
        <w:fldChar w:fldCharType="separate"/>
      </w:r>
      <w:r>
        <w:rPr>
          <w:rStyle w:val="31"/>
        </w:rPr>
        <w:t>11 标准技术审查情况</w:t>
      </w:r>
      <w:r>
        <w:tab/>
      </w:r>
      <w:r>
        <w:fldChar w:fldCharType="begin"/>
      </w:r>
      <w:r>
        <w:instrText xml:space="preserve"> PAGEREF _Toc505420245 \h </w:instrText>
      </w:r>
      <w:r>
        <w:fldChar w:fldCharType="separate"/>
      </w:r>
      <w:r>
        <w:t>15</w:t>
      </w:r>
      <w:r>
        <w:fldChar w:fldCharType="end"/>
      </w:r>
      <w:r>
        <w:fldChar w:fldCharType="end"/>
      </w:r>
    </w:p>
    <w:p>
      <w:pPr>
        <w:pStyle w:val="19"/>
        <w:tabs>
          <w:tab w:val="right" w:leader="dot" w:pos="8296"/>
        </w:tabs>
        <w:ind w:firstLine="0" w:firstLineChars="0"/>
        <w:rPr>
          <w:rFonts w:eastAsia="仿宋_GB2312"/>
          <w:lang w:val="zh-CN"/>
        </w:rPr>
      </w:pPr>
      <w:r>
        <w:rPr>
          <w:rFonts w:ascii="宋体" w:hAnsi="宋体"/>
          <w:szCs w:val="21"/>
          <w:lang w:val="zh-CN"/>
        </w:rPr>
        <w:fldChar w:fldCharType="end"/>
      </w:r>
    </w:p>
    <w:p>
      <w:pPr>
        <w:spacing w:line="360" w:lineRule="auto"/>
        <w:ind w:firstLine="0" w:firstLineChars="0"/>
        <w:sectPr>
          <w:footerReference r:id="rId10" w:type="default"/>
          <w:pgSz w:w="11906" w:h="16838"/>
          <w:pgMar w:top="1440" w:right="1800" w:bottom="1440" w:left="1800" w:header="851" w:footer="992" w:gutter="0"/>
          <w:pgNumType w:fmt="lowerRoman" w:start="1"/>
          <w:cols w:space="720" w:num="1"/>
          <w:docGrid w:type="lines" w:linePitch="435" w:charSpace="0"/>
        </w:sectPr>
      </w:pPr>
    </w:p>
    <w:p>
      <w:pPr>
        <w:pStyle w:val="2"/>
      </w:pPr>
      <w:bookmarkStart w:id="1" w:name="_Toc429261688"/>
      <w:bookmarkStart w:id="2" w:name="_Toc468455262"/>
      <w:bookmarkStart w:id="3" w:name="_Toc505420220"/>
      <w:r>
        <w:t xml:space="preserve">1 </w:t>
      </w:r>
      <w:bookmarkEnd w:id="1"/>
      <w:r>
        <w:t>项目背景</w:t>
      </w:r>
      <w:bookmarkEnd w:id="2"/>
      <w:bookmarkEnd w:id="3"/>
    </w:p>
    <w:p>
      <w:pPr>
        <w:pStyle w:val="3"/>
      </w:pPr>
      <w:bookmarkStart w:id="4" w:name="_Toc429261689"/>
      <w:bookmarkStart w:id="5" w:name="_Toc468455263"/>
      <w:bookmarkStart w:id="6" w:name="_Toc505420221"/>
      <w:r>
        <w:t>1.1 任务来源</w:t>
      </w:r>
      <w:bookmarkEnd w:id="4"/>
      <w:bookmarkEnd w:id="5"/>
      <w:bookmarkEnd w:id="6"/>
    </w:p>
    <w:p>
      <w:pPr>
        <w:snapToGrid/>
        <w:ind w:firstLine="420"/>
      </w:pPr>
      <w:r>
        <w:rPr>
          <w:rFonts w:hint="eastAsia"/>
        </w:rPr>
        <w:t>为加强纺织染整工业废水中锑污染物排放管理，</w:t>
      </w:r>
      <w:r>
        <w:t>201</w:t>
      </w:r>
      <w:r>
        <w:rPr>
          <w:rFonts w:hint="eastAsia"/>
        </w:rPr>
        <w:t>5</w:t>
      </w:r>
      <w:r>
        <w:t>年，江苏省环保厅</w:t>
      </w:r>
      <w:r>
        <w:rPr>
          <w:rFonts w:hint="eastAsia"/>
        </w:rPr>
        <w:t>向江苏省生态环境评估中心</w:t>
      </w:r>
      <w:r>
        <w:t>下达了江苏省纺织染整工业废水中锑污染物地方排放标准制定任务。</w:t>
      </w:r>
    </w:p>
    <w:p>
      <w:pPr>
        <w:pStyle w:val="3"/>
      </w:pPr>
      <w:bookmarkStart w:id="7" w:name="_Toc429261690"/>
      <w:bookmarkStart w:id="8" w:name="_Toc468455264"/>
      <w:bookmarkStart w:id="9" w:name="_Toc505420222"/>
      <w:r>
        <w:t>1.2 工作过程</w:t>
      </w:r>
      <w:bookmarkEnd w:id="7"/>
      <w:bookmarkEnd w:id="8"/>
      <w:bookmarkEnd w:id="9"/>
    </w:p>
    <w:p>
      <w:pPr>
        <w:snapToGrid/>
        <w:ind w:firstLine="420"/>
      </w:pPr>
      <w:r>
        <w:rPr>
          <w:rFonts w:hint="eastAsia"/>
        </w:rPr>
        <w:t>为了做好标准制定工作，</w:t>
      </w:r>
      <w:r>
        <w:t>江苏省生态环境评估中心会同苏州市环境科学研究所组成了标准编制组，制定了标准编制工作计划，明确各阶段目标与任务，确定标准制定方法与技术路线，经过资料收集</w:t>
      </w:r>
      <w:r>
        <w:rPr>
          <w:rFonts w:hint="eastAsia"/>
        </w:rPr>
        <w:t>、</w:t>
      </w:r>
      <w:r>
        <w:t>文献查阅</w:t>
      </w:r>
      <w:r>
        <w:rPr>
          <w:rFonts w:hint="eastAsia"/>
        </w:rPr>
        <w:t>、</w:t>
      </w:r>
      <w:r>
        <w:t>实地调研、现场监测</w:t>
      </w:r>
      <w:r>
        <w:rPr>
          <w:rFonts w:hint="eastAsia"/>
        </w:rPr>
        <w:t>和</w:t>
      </w:r>
      <w:r>
        <w:t>专家</w:t>
      </w:r>
      <w:r>
        <w:rPr>
          <w:rFonts w:hint="eastAsia"/>
        </w:rPr>
        <w:t>咨询</w:t>
      </w:r>
      <w:r>
        <w:t>等工作，结合前期研究工作成果，完成标准及标准编制说明征求意见稿。主要工作过程如下：</w:t>
      </w:r>
    </w:p>
    <w:p>
      <w:pPr>
        <w:pStyle w:val="4"/>
      </w:pPr>
      <w:r>
        <w:rPr>
          <w:rFonts w:hint="eastAsia"/>
        </w:rPr>
        <w:t>1</w:t>
      </w:r>
      <w:r>
        <w:t>.2.1 文献查阅与资料收集整理</w:t>
      </w:r>
    </w:p>
    <w:p>
      <w:pPr>
        <w:snapToGrid/>
        <w:ind w:firstLine="420"/>
      </w:pPr>
      <w:r>
        <w:t>编制组查阅了国内外废水中锑污染物相关标准，以及废水中锑污染治理典型工艺路线、处理成效等环境管理和技术相关资料，对纺织染整企业废水中锑的排放和处理情况进行了全面汇总、整理和分析。</w:t>
      </w:r>
    </w:p>
    <w:p>
      <w:pPr>
        <w:pStyle w:val="4"/>
      </w:pPr>
      <w:r>
        <w:rPr>
          <w:rFonts w:hint="eastAsia"/>
        </w:rPr>
        <w:t>1</w:t>
      </w:r>
      <w:r>
        <w:t>.2.2 现状调研与环境监测</w:t>
      </w:r>
    </w:p>
    <w:p>
      <w:pPr>
        <w:snapToGrid/>
        <w:ind w:firstLine="420"/>
      </w:pPr>
      <w:r>
        <w:t>2016年9月-10月，编制组先后前往苏州</w:t>
      </w:r>
      <w:r>
        <w:rPr>
          <w:rFonts w:hint="eastAsia"/>
        </w:rPr>
        <w:t>、</w:t>
      </w:r>
      <w:r>
        <w:t>南通</w:t>
      </w:r>
      <w:r>
        <w:rPr>
          <w:rFonts w:hint="eastAsia"/>
        </w:rPr>
        <w:t>、</w:t>
      </w:r>
      <w:r>
        <w:t>盐城</w:t>
      </w:r>
      <w:r>
        <w:rPr>
          <w:rFonts w:hint="eastAsia"/>
        </w:rPr>
        <w:t>等地</w:t>
      </w:r>
      <w:r>
        <w:t>进行现场调研和环境监测，掌握了纺织染整企业废水中锑污染物产生环节及苏南、苏中、苏北不同地区废水中锑污染物的治理情况和排放浓度情况。</w:t>
      </w:r>
    </w:p>
    <w:p>
      <w:pPr>
        <w:pStyle w:val="4"/>
      </w:pPr>
      <w:r>
        <w:rPr>
          <w:rFonts w:hint="eastAsia"/>
        </w:rPr>
        <w:t>1</w:t>
      </w:r>
      <w:r>
        <w:t>.2.3 座谈交流</w:t>
      </w:r>
    </w:p>
    <w:p>
      <w:pPr>
        <w:snapToGrid/>
        <w:ind w:firstLine="420"/>
      </w:pPr>
      <w:r>
        <w:rPr>
          <w:rFonts w:hint="eastAsia"/>
        </w:rPr>
        <w:t>在各地环保局、纺织染整企业等协助和配合下，编制组</w:t>
      </w:r>
      <w:r>
        <w:t>先后与苏州</w:t>
      </w:r>
      <w:r>
        <w:rPr>
          <w:rFonts w:hint="eastAsia"/>
        </w:rPr>
        <w:t>、南通</w:t>
      </w:r>
      <w:r>
        <w:t>、盐城</w:t>
      </w:r>
      <w:r>
        <w:rPr>
          <w:rFonts w:hint="eastAsia"/>
        </w:rPr>
        <w:t>等地</w:t>
      </w:r>
      <w:r>
        <w:t>典型纺织染整企业进行了交流座谈，了解锑污染治理技术的经济</w:t>
      </w:r>
      <w:r>
        <w:rPr>
          <w:rFonts w:hint="eastAsia"/>
        </w:rPr>
        <w:t>成本</w:t>
      </w:r>
      <w:r>
        <w:t>以及管理部门和企业对锑污染防治需求。并召开专家咨询会，就锑污染的监测、管控进行了专家咨询。</w:t>
      </w:r>
    </w:p>
    <w:p>
      <w:pPr>
        <w:pStyle w:val="4"/>
      </w:pPr>
      <w:bookmarkStart w:id="10" w:name="_Hlk505419241"/>
      <w:r>
        <w:rPr>
          <w:rFonts w:hint="eastAsia"/>
        </w:rPr>
        <w:t>1</w:t>
      </w:r>
      <w:r>
        <w:t xml:space="preserve">.2.4 </w:t>
      </w:r>
      <w:r>
        <w:rPr>
          <w:rFonts w:hint="eastAsia"/>
        </w:rPr>
        <w:t>第一次征求意见</w:t>
      </w:r>
    </w:p>
    <w:bookmarkEnd w:id="10"/>
    <w:p>
      <w:pPr>
        <w:snapToGrid/>
        <w:ind w:firstLine="420"/>
      </w:pPr>
      <w:r>
        <w:t>在广泛阅读国内外现有标准和深入分析目前调研资料的基础上，</w:t>
      </w:r>
      <w:r>
        <w:rPr>
          <w:rFonts w:hint="eastAsia"/>
        </w:rPr>
        <w:t>编制组于2017年3月提出标准第一次征求意见稿，江苏省环保厅于</w:t>
      </w:r>
      <w:r>
        <w:t>2017</w:t>
      </w:r>
      <w:r>
        <w:rPr>
          <w:rFonts w:hint="eastAsia"/>
        </w:rPr>
        <w:t>年4月发出征求意见函，征求了包括环保部科技司、标准所，上海市环保局、浙江省、安徽省环保厅，江苏省发改委、经信委、质监局，江苏省纺织工业协会、省标准化研究院、科研院所、高校、省内各设区市、县（市）环保局和厅机关、直属单位意见及省内典型纺织染整企业意见。截止2</w:t>
      </w:r>
      <w:r>
        <w:t>017</w:t>
      </w:r>
      <w:r>
        <w:rPr>
          <w:rFonts w:hint="eastAsia"/>
        </w:rPr>
        <w:t>年</w:t>
      </w:r>
      <w:r>
        <w:t>8</w:t>
      </w:r>
      <w:r>
        <w:rPr>
          <w:rFonts w:hint="eastAsia"/>
        </w:rPr>
        <w:t>月，共</w:t>
      </w:r>
      <w:r>
        <w:t>8</w:t>
      </w:r>
      <w:r>
        <w:rPr>
          <w:rFonts w:hint="eastAsia"/>
        </w:rPr>
        <w:t>家单位回函提出书面意见，其中无意见单位</w:t>
      </w:r>
      <w:r>
        <w:t>3</w:t>
      </w:r>
      <w:r>
        <w:rPr>
          <w:rFonts w:hint="eastAsia"/>
        </w:rPr>
        <w:t>家，收到各单位意见共</w:t>
      </w:r>
      <w:r>
        <w:t>10</w:t>
      </w:r>
      <w:r>
        <w:rPr>
          <w:rFonts w:hint="eastAsia"/>
        </w:rPr>
        <w:t>条。收到意见后，编制组认真按照意见进行了修改（其中采纳意见</w:t>
      </w:r>
      <w:r>
        <w:t>9</w:t>
      </w:r>
      <w:r>
        <w:rPr>
          <w:rFonts w:hint="eastAsia"/>
        </w:rPr>
        <w:t>条，未采纳意见</w:t>
      </w:r>
      <w:r>
        <w:t>1</w:t>
      </w:r>
      <w:r>
        <w:rPr>
          <w:rFonts w:hint="eastAsia"/>
        </w:rPr>
        <w:t>条），最终确定送审稿初稿。</w:t>
      </w:r>
    </w:p>
    <w:p>
      <w:pPr>
        <w:pStyle w:val="4"/>
      </w:pPr>
      <w:r>
        <w:t xml:space="preserve">1.2.5 </w:t>
      </w:r>
      <w:r>
        <w:rPr>
          <w:rFonts w:hint="eastAsia"/>
        </w:rPr>
        <w:t>技术审查及形成第二次征求意见稿</w:t>
      </w:r>
    </w:p>
    <w:p>
      <w:pPr>
        <w:snapToGrid/>
        <w:ind w:firstLine="420"/>
      </w:pPr>
      <w:r>
        <w:rPr>
          <w:rFonts w:hint="eastAsia"/>
        </w:rPr>
        <w:t>2017年9月，江苏省环保厅和江苏省质监局在南京召开了江苏省地方标准《纺织染整工业废水中锑污染物排放标准》技术审查会。编制组根据专家意见对征求意见处理情况和标准送审稿初稿进一步修改并编制完成了标准文本（第二次征求意见稿）和相应的编制说明。</w:t>
      </w:r>
    </w:p>
    <w:p>
      <w:pPr>
        <w:pStyle w:val="2"/>
      </w:pPr>
      <w:bookmarkStart w:id="11" w:name="_Toc468455265"/>
      <w:bookmarkStart w:id="12" w:name="_Toc505420223"/>
      <w:r>
        <w:t>2 纺织染整工业概况</w:t>
      </w:r>
      <w:bookmarkEnd w:id="11"/>
      <w:bookmarkEnd w:id="12"/>
    </w:p>
    <w:p>
      <w:pPr>
        <w:snapToGrid/>
        <w:ind w:firstLine="420"/>
      </w:pPr>
      <w:r>
        <w:t>我国是传统纺织</w:t>
      </w:r>
      <w:r>
        <w:rPr>
          <w:rFonts w:hint="eastAsia"/>
        </w:rPr>
        <w:t>染整</w:t>
      </w:r>
      <w:r>
        <w:t>大国，纺织染整是我国的重要民生产业，是我国经济社会发展的重要组成部分。根据国家统计局</w:t>
      </w:r>
      <w:r>
        <w:rPr>
          <w:rFonts w:hint="eastAsia"/>
        </w:rPr>
        <w:t>相关数据</w:t>
      </w:r>
      <w:r>
        <w:t>资料，我国规模以上印染企业2013年的染布产量542.36亿米，2014年为536.74亿米。与其他行业相比，纺织染整生产企业规模小，分布集中，主要分布在我国东部沿海地区。2014年1-12月份，浙江、江苏、福建、广东、山东等东部沿海五省印染布产量507.43亿米，占全国的比重</w:t>
      </w:r>
      <w:r>
        <w:rPr>
          <w:rFonts w:hint="eastAsia"/>
        </w:rPr>
        <w:t>超过90</w:t>
      </w:r>
      <w:r>
        <w:t>%。其中江苏省</w:t>
      </w:r>
      <w:r>
        <w:rPr>
          <w:rFonts w:hint="eastAsia"/>
        </w:rPr>
        <w:t>规模以上纺织业工业企业单位数占全国22.72%，销售总产值占全国17.71%，</w:t>
      </w:r>
      <w:r>
        <w:t>为我国纺织印染行业大省。2015年，我省工业产品布产量绝对量为95.68亿米，增长5.2%。</w:t>
      </w:r>
    </w:p>
    <w:p>
      <w:pPr>
        <w:snapToGrid/>
        <w:ind w:firstLine="420"/>
      </w:pPr>
      <w:r>
        <w:t>2011-2014年，我省的纺织染整工业主要经济指标见表1，由表</w:t>
      </w:r>
      <w:r>
        <w:rPr>
          <w:rFonts w:hint="eastAsia"/>
        </w:rPr>
        <w:t>1</w:t>
      </w:r>
      <w:r>
        <w:t>可知，近年来规模以上纺织业企业单位数总体呈下降趋势，</w:t>
      </w:r>
      <w:r>
        <w:rPr>
          <w:rFonts w:hint="eastAsia"/>
        </w:rPr>
        <w:t>总产值</w:t>
      </w:r>
      <w:r>
        <w:t>呈上升趋势。</w:t>
      </w:r>
    </w:p>
    <w:p>
      <w:pPr>
        <w:ind w:firstLine="420"/>
        <w:jc w:val="center"/>
        <w:rPr>
          <w:rFonts w:eastAsia="黑体"/>
          <w:kern w:val="2"/>
          <w:szCs w:val="22"/>
        </w:rPr>
      </w:pPr>
      <w:r>
        <w:rPr>
          <w:rFonts w:eastAsia="黑体"/>
          <w:kern w:val="2"/>
          <w:szCs w:val="22"/>
        </w:rPr>
        <w:t>表1  我省规模以上纺织业企业单位数和产销总值（单位：亿元）</w:t>
      </w:r>
    </w:p>
    <w:tbl>
      <w:tblPr>
        <w:tblStyle w:val="35"/>
        <w:tblW w:w="8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58"/>
        <w:gridCol w:w="1168"/>
        <w:gridCol w:w="1014"/>
        <w:gridCol w:w="1266"/>
        <w:gridCol w:w="1014"/>
        <w:gridCol w:w="2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1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年度</w:t>
            </w:r>
          </w:p>
        </w:tc>
        <w:tc>
          <w:tcPr>
            <w:tcW w:w="115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企业单位数（个）</w:t>
            </w:r>
          </w:p>
        </w:tc>
        <w:tc>
          <w:tcPr>
            <w:tcW w:w="116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纺织业总产值</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新产品产值</w:t>
            </w:r>
          </w:p>
        </w:tc>
        <w:tc>
          <w:tcPr>
            <w:tcW w:w="126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纺织业销售产值</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出口交货值</w:t>
            </w:r>
          </w:p>
        </w:tc>
        <w:tc>
          <w:tcPr>
            <w:tcW w:w="2175" w:type="dxa"/>
            <w:tcBorders>
              <w:top w:val="single" w:color="auto" w:sz="4" w:space="0"/>
              <w:left w:val="single" w:color="auto" w:sz="4" w:space="0"/>
              <w:bottom w:val="single" w:color="auto" w:sz="4" w:space="0"/>
              <w:right w:val="single" w:color="auto" w:sz="4" w:space="0"/>
            </w:tcBorders>
            <w:vAlign w:val="center"/>
          </w:tcPr>
          <w:p>
            <w:pPr>
              <w:ind w:firstLine="0" w:firstLineChars="0"/>
              <w:rPr>
                <w:rFonts w:ascii="Calibri" w:hAnsi="Calibri"/>
                <w:kern w:val="0"/>
                <w:sz w:val="21"/>
                <w:szCs w:val="21"/>
              </w:rPr>
            </w:pPr>
            <w:r>
              <w:rPr>
                <w:rFonts w:ascii="Calibri" w:hAnsi="Calibri"/>
                <w:kern w:val="0"/>
                <w:sz w:val="21"/>
                <w:szCs w:val="21"/>
              </w:rPr>
              <w:t>纺织染整工业占全省工业总产值比例（%）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1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2011</w:t>
            </w:r>
          </w:p>
        </w:tc>
        <w:tc>
          <w:tcPr>
            <w:tcW w:w="1158"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textAlignment w:val="center"/>
              <w:rPr>
                <w:rFonts w:ascii="Calibri" w:hAnsi="Calibri"/>
                <w:kern w:val="0"/>
                <w:sz w:val="21"/>
                <w:szCs w:val="21"/>
              </w:rPr>
            </w:pPr>
            <w:r>
              <w:rPr>
                <w:rFonts w:ascii="Calibri" w:hAnsi="Calibri"/>
                <w:kern w:val="0"/>
                <w:sz w:val="21"/>
                <w:szCs w:val="21"/>
              </w:rPr>
              <w:t>5227</w:t>
            </w:r>
          </w:p>
        </w:tc>
        <w:tc>
          <w:tcPr>
            <w:tcW w:w="116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6084.89</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501.80</w:t>
            </w:r>
          </w:p>
        </w:tc>
        <w:tc>
          <w:tcPr>
            <w:tcW w:w="126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6005.80</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892.92</w:t>
            </w:r>
          </w:p>
        </w:tc>
        <w:tc>
          <w:tcPr>
            <w:tcW w:w="217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5.65%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1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2012</w:t>
            </w:r>
          </w:p>
        </w:tc>
        <w:tc>
          <w:tcPr>
            <w:tcW w:w="1158"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textAlignment w:val="center"/>
              <w:rPr>
                <w:rFonts w:ascii="Calibri" w:hAnsi="Calibri"/>
                <w:kern w:val="0"/>
                <w:sz w:val="21"/>
                <w:szCs w:val="21"/>
              </w:rPr>
            </w:pPr>
            <w:r>
              <w:rPr>
                <w:rFonts w:ascii="Calibri" w:hAnsi="Calibri"/>
                <w:kern w:val="0"/>
                <w:sz w:val="21"/>
                <w:szCs w:val="21"/>
              </w:rPr>
              <w:t>4848</w:t>
            </w:r>
          </w:p>
        </w:tc>
        <w:tc>
          <w:tcPr>
            <w:tcW w:w="116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5997.36</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629.87</w:t>
            </w:r>
          </w:p>
        </w:tc>
        <w:tc>
          <w:tcPr>
            <w:tcW w:w="126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5913.59</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775.82</w:t>
            </w:r>
          </w:p>
        </w:tc>
        <w:tc>
          <w:tcPr>
            <w:tcW w:w="217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4.99%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1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2013</w:t>
            </w:r>
          </w:p>
        </w:tc>
        <w:tc>
          <w:tcPr>
            <w:tcW w:w="1158"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textAlignment w:val="center"/>
              <w:rPr>
                <w:rFonts w:ascii="Calibri" w:hAnsi="Calibri"/>
                <w:kern w:val="0"/>
                <w:sz w:val="21"/>
                <w:szCs w:val="21"/>
              </w:rPr>
            </w:pPr>
            <w:r>
              <w:rPr>
                <w:rFonts w:ascii="Calibri" w:hAnsi="Calibri"/>
                <w:kern w:val="0"/>
                <w:sz w:val="21"/>
                <w:szCs w:val="21"/>
              </w:rPr>
              <w:t>4880</w:t>
            </w:r>
          </w:p>
        </w:tc>
        <w:tc>
          <w:tcPr>
            <w:tcW w:w="116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6503.77</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348.37</w:t>
            </w:r>
          </w:p>
        </w:tc>
        <w:tc>
          <w:tcPr>
            <w:tcW w:w="126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6373.91</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811.13</w:t>
            </w:r>
          </w:p>
        </w:tc>
        <w:tc>
          <w:tcPr>
            <w:tcW w:w="217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4.83%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 w:hRule="atLeast"/>
        </w:trPr>
        <w:tc>
          <w:tcPr>
            <w:tcW w:w="817"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2014</w:t>
            </w:r>
          </w:p>
        </w:tc>
        <w:tc>
          <w:tcPr>
            <w:tcW w:w="1158"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textAlignment w:val="center"/>
              <w:rPr>
                <w:rFonts w:ascii="Calibri" w:hAnsi="Calibri"/>
                <w:kern w:val="0"/>
                <w:sz w:val="21"/>
                <w:szCs w:val="21"/>
              </w:rPr>
            </w:pPr>
            <w:r>
              <w:rPr>
                <w:rFonts w:ascii="Calibri" w:hAnsi="Calibri"/>
                <w:kern w:val="0"/>
                <w:sz w:val="21"/>
                <w:szCs w:val="21"/>
              </w:rPr>
              <w:t>4730</w:t>
            </w:r>
          </w:p>
        </w:tc>
        <w:tc>
          <w:tcPr>
            <w:tcW w:w="1168"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6754.02</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684.43</w:t>
            </w:r>
          </w:p>
        </w:tc>
        <w:tc>
          <w:tcPr>
            <w:tcW w:w="1266"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6675.72</w:t>
            </w:r>
          </w:p>
        </w:tc>
        <w:tc>
          <w:tcPr>
            <w:tcW w:w="1014"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830.64</w:t>
            </w:r>
          </w:p>
        </w:tc>
        <w:tc>
          <w:tcPr>
            <w:tcW w:w="217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Calibri" w:hAnsi="Calibri"/>
                <w:kern w:val="0"/>
                <w:sz w:val="21"/>
                <w:szCs w:val="21"/>
              </w:rPr>
            </w:pPr>
            <w:r>
              <w:rPr>
                <w:rFonts w:ascii="Calibri" w:hAnsi="Calibri"/>
                <w:kern w:val="0"/>
                <w:sz w:val="21"/>
                <w:szCs w:val="21"/>
              </w:rPr>
              <w:t>4.72%</w:t>
            </w:r>
          </w:p>
        </w:tc>
      </w:tr>
    </w:tbl>
    <w:p>
      <w:pPr>
        <w:snapToGrid/>
        <w:ind w:firstLine="420"/>
      </w:pPr>
    </w:p>
    <w:p>
      <w:pPr>
        <w:pStyle w:val="2"/>
      </w:pPr>
      <w:bookmarkStart w:id="13" w:name="_Toc429261691"/>
      <w:bookmarkStart w:id="14" w:name="_Toc468455266"/>
      <w:bookmarkStart w:id="15" w:name="_Toc505420224"/>
      <w:r>
        <w:t>3</w:t>
      </w:r>
      <w:bookmarkEnd w:id="13"/>
      <w:r>
        <w:rPr>
          <w:rFonts w:hint="eastAsia"/>
        </w:rPr>
        <w:t xml:space="preserve"> </w:t>
      </w:r>
      <w:r>
        <w:t>标准制定的必要性分析</w:t>
      </w:r>
      <w:bookmarkEnd w:id="14"/>
      <w:bookmarkEnd w:id="15"/>
    </w:p>
    <w:p>
      <w:pPr>
        <w:snapToGrid/>
        <w:ind w:firstLine="420"/>
      </w:pPr>
      <w:bookmarkStart w:id="16" w:name="_Toc429261692"/>
      <w:r>
        <w:rPr>
          <w:rFonts w:hint="eastAsia"/>
        </w:rPr>
        <w:t>2015年，《纺织染整工业水污染物排放标准》（GB 4287-2012）修改单（环境保护部公告2015年第19号）中虽然规定了“总锑”的直接排放与间接排放限值均为0.10 mg/L，但考虑到江苏省为纺织染整大省，尤其是太湖流域纺织染整企业较多，且水网密布，人口密集，水环境敏感，应研究制定严于国家标准的地方标准。</w:t>
      </w:r>
      <w:r>
        <w:t>本标准制定的主要目的是促进纺织染整企业加强对废水中锑污染物的治理，以</w:t>
      </w:r>
      <w:r>
        <w:rPr>
          <w:rFonts w:hint="eastAsia"/>
        </w:rPr>
        <w:t>便</w:t>
      </w:r>
      <w:r>
        <w:t>有效的控制锑污染物排放。</w:t>
      </w:r>
    </w:p>
    <w:p>
      <w:pPr>
        <w:snapToGrid/>
        <w:ind w:firstLine="420"/>
      </w:pPr>
    </w:p>
    <w:p>
      <w:pPr>
        <w:pStyle w:val="2"/>
      </w:pPr>
      <w:bookmarkStart w:id="17" w:name="_Toc468455267"/>
      <w:bookmarkStart w:id="18" w:name="_Toc505420225"/>
      <w:r>
        <w:t>4</w:t>
      </w:r>
      <w:r>
        <w:rPr>
          <w:rFonts w:hint="eastAsia"/>
        </w:rPr>
        <w:t xml:space="preserve"> </w:t>
      </w:r>
      <w:r>
        <w:t>锑污染物产排</w:t>
      </w:r>
      <w:r>
        <w:rPr>
          <w:rFonts w:hint="eastAsia"/>
        </w:rPr>
        <w:t>污</w:t>
      </w:r>
      <w:r>
        <w:t>情况及污染控制技术分析</w:t>
      </w:r>
      <w:bookmarkEnd w:id="17"/>
      <w:bookmarkEnd w:id="18"/>
    </w:p>
    <w:p>
      <w:pPr>
        <w:pStyle w:val="3"/>
      </w:pPr>
      <w:bookmarkStart w:id="19" w:name="_Toc468455268"/>
      <w:bookmarkStart w:id="20" w:name="_Toc505420226"/>
      <w:r>
        <w:t>4.1</w:t>
      </w:r>
      <w:r>
        <w:rPr>
          <w:rFonts w:hint="eastAsia"/>
        </w:rPr>
        <w:t xml:space="preserve"> </w:t>
      </w:r>
      <w:r>
        <w:t>锑污染物产污</w:t>
      </w:r>
      <w:r>
        <w:rPr>
          <w:rFonts w:hint="eastAsia"/>
        </w:rPr>
        <w:t>特点</w:t>
      </w:r>
      <w:r>
        <w:t>分析</w:t>
      </w:r>
      <w:bookmarkEnd w:id="19"/>
      <w:bookmarkEnd w:id="20"/>
    </w:p>
    <w:p>
      <w:pPr>
        <w:snapToGrid/>
        <w:ind w:firstLine="420"/>
      </w:pPr>
      <w:r>
        <w:t>纺织染整</w:t>
      </w:r>
      <w:r>
        <w:rPr>
          <w:rFonts w:hint="eastAsia"/>
        </w:rPr>
        <w:t>工业</w:t>
      </w:r>
      <w:r>
        <w:t>在化纤丝的聚合过程中以乙二醇锑或三氧化二锑作为催化剂，以化纤丝和化纤布为原料的印染、纺织、纤维纺丝工艺遇水均有锑析出。其中纺织和纤维纺丝工艺一般析出的锑较少，印染工艺析出的锑较多，特别是其前处理工艺（退浆和碱减量），由于使用高温高压的环境，析出锑的量较大，一般在1 mg/L以上，是污水中锑的主要来源。</w:t>
      </w:r>
    </w:p>
    <w:p>
      <w:pPr>
        <w:snapToGrid/>
        <w:ind w:firstLine="420"/>
      </w:pPr>
      <w:r>
        <w:t>根据纺织染整工业的生产特点及现场调查数据，锑污染排放主要存在化纤印染企业的废水中。锑的化合物在作为催化剂合成胚布的过程中析出锑并以游离状态均匀分散到聚酯纤维中，在印染工序中，进入废水中并沉积下来。一般纺织染整废水水量较大，每印染加工1吨纺织品耗水100</w:t>
      </w:r>
      <w:r>
        <w:rPr>
          <w:rFonts w:hint="eastAsia"/>
        </w:rPr>
        <w:t>-</w:t>
      </w:r>
      <w:r>
        <w:t>200吨，其中80%</w:t>
      </w:r>
      <w:r>
        <w:rPr>
          <w:rFonts w:hint="eastAsia"/>
        </w:rPr>
        <w:t>-</w:t>
      </w:r>
      <w:r>
        <w:t>90%成为废水，且水质、水温、水量变化大，色度大，有机物含量高，成分复杂，治理起来较困难。</w:t>
      </w:r>
    </w:p>
    <w:p>
      <w:pPr>
        <w:pStyle w:val="3"/>
      </w:pPr>
      <w:bookmarkStart w:id="21" w:name="_Toc468455270"/>
      <w:bookmarkStart w:id="22" w:name="_Toc505420227"/>
      <w:bookmarkStart w:id="23" w:name="_Toc468455269"/>
      <w:r>
        <w:t>4.2 污染防治技术分析</w:t>
      </w:r>
      <w:bookmarkEnd w:id="21"/>
      <w:bookmarkEnd w:id="22"/>
    </w:p>
    <w:p>
      <w:pPr>
        <w:snapToGrid/>
        <w:ind w:firstLine="420"/>
      </w:pPr>
      <w:r>
        <w:t>目前，去除水体中锑的常用方法主要有：化学沉淀法、吸附法、微生物法和离子交换法。</w:t>
      </w:r>
    </w:p>
    <w:p>
      <w:pPr>
        <w:pStyle w:val="4"/>
      </w:pPr>
      <w:bookmarkStart w:id="24" w:name="_Toc424043850"/>
      <w:r>
        <w:rPr>
          <w:rFonts w:hint="eastAsia"/>
        </w:rPr>
        <w:t>4</w:t>
      </w:r>
      <w:r>
        <w:t>.2.1 化学沉淀法</w:t>
      </w:r>
      <w:bookmarkEnd w:id="24"/>
    </w:p>
    <w:p>
      <w:pPr>
        <w:snapToGrid/>
        <w:ind w:firstLine="420"/>
      </w:pPr>
      <w:r>
        <w:t>化学沉淀法是指通过外加药剂使水中的锑形成沉淀而得以去除的方法，可以通过投加铁盐和硫离子、化学试剂和调节pH值等达到沉淀去除锑的目的。</w:t>
      </w:r>
    </w:p>
    <w:p>
      <w:pPr>
        <w:snapToGrid/>
        <w:ind w:firstLine="420"/>
      </w:pPr>
      <w:r>
        <w:t>化学沉淀法去除锑的主要机理是吸附和共沉淀作用。铁盐及铝盐等在水解及聚合过程中产生了各种不同的络合物交联体和胶态氢氧化物的低、高聚合体，因而具有较强的吸附、粘结和沉降能力，最终达到良好的混凝效果。一般情况下，较低pH值有利于化学混凝沉淀对水中锑的去除。</w:t>
      </w:r>
    </w:p>
    <w:p>
      <w:pPr>
        <w:snapToGrid/>
        <w:ind w:firstLine="420"/>
      </w:pPr>
      <w:r>
        <w:t>铁盐和铝盐是两种最常用的混凝剂。但是，在实际应用中，铝盐在水中形成的絮凝产物沉淀性能较差，而且铝离子有毒，易溶于水中造成二次污染，去除效果不如铁盐好。根据实验研究，不同混凝剂对锑的去除效果见表2。</w:t>
      </w:r>
    </w:p>
    <w:p>
      <w:pPr>
        <w:widowControl/>
        <w:snapToGrid/>
        <w:ind w:firstLine="0" w:firstLineChars="0"/>
        <w:jc w:val="center"/>
        <w:rPr>
          <w:rFonts w:eastAsia="黑体"/>
          <w:iCs/>
        </w:rPr>
      </w:pPr>
      <w:r>
        <w:rPr>
          <w:rFonts w:eastAsia="黑体"/>
          <w:iCs/>
        </w:rPr>
        <w:t>表2  不同混凝剂对锑的去除效果一览表</w:t>
      </w:r>
    </w:p>
    <w:tbl>
      <w:tblPr>
        <w:tblStyle w:val="34"/>
        <w:tblW w:w="8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809"/>
        <w:gridCol w:w="1843"/>
        <w:gridCol w:w="1987"/>
        <w:gridCol w:w="1416"/>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blHeader/>
        </w:trPr>
        <w:tc>
          <w:tcPr>
            <w:tcW w:w="1809" w:type="dxa"/>
            <w:vAlign w:val="center"/>
          </w:tcPr>
          <w:p>
            <w:pPr>
              <w:widowControl/>
              <w:ind w:firstLine="0" w:firstLineChars="0"/>
              <w:jc w:val="center"/>
              <w:rPr>
                <w:color w:val="000000"/>
                <w:kern w:val="2"/>
                <w:szCs w:val="21"/>
              </w:rPr>
            </w:pPr>
            <w:r>
              <w:rPr>
                <w:color w:val="000000"/>
                <w:kern w:val="2"/>
                <w:szCs w:val="21"/>
              </w:rPr>
              <w:t>药剂名称</w:t>
            </w:r>
          </w:p>
        </w:tc>
        <w:tc>
          <w:tcPr>
            <w:tcW w:w="1843" w:type="dxa"/>
            <w:vAlign w:val="center"/>
          </w:tcPr>
          <w:p>
            <w:pPr>
              <w:widowControl/>
              <w:ind w:firstLine="0" w:firstLineChars="0"/>
              <w:jc w:val="center"/>
              <w:rPr>
                <w:color w:val="000000"/>
                <w:kern w:val="2"/>
                <w:szCs w:val="21"/>
              </w:rPr>
            </w:pPr>
            <w:r>
              <w:rPr>
                <w:color w:val="000000"/>
                <w:kern w:val="2"/>
                <w:szCs w:val="21"/>
              </w:rPr>
              <w:t>锑初始浓度</w:t>
            </w:r>
          </w:p>
        </w:tc>
        <w:tc>
          <w:tcPr>
            <w:tcW w:w="1987" w:type="dxa"/>
            <w:vAlign w:val="center"/>
          </w:tcPr>
          <w:p>
            <w:pPr>
              <w:widowControl/>
              <w:ind w:firstLine="0" w:firstLineChars="0"/>
              <w:jc w:val="center"/>
              <w:rPr>
                <w:color w:val="000000"/>
                <w:kern w:val="2"/>
                <w:szCs w:val="21"/>
              </w:rPr>
            </w:pPr>
            <w:r>
              <w:rPr>
                <w:color w:val="000000"/>
                <w:kern w:val="2"/>
                <w:szCs w:val="21"/>
              </w:rPr>
              <w:t>药剂投加量</w:t>
            </w:r>
          </w:p>
        </w:tc>
        <w:tc>
          <w:tcPr>
            <w:tcW w:w="1416" w:type="dxa"/>
            <w:vAlign w:val="center"/>
          </w:tcPr>
          <w:p>
            <w:pPr>
              <w:widowControl/>
              <w:ind w:firstLine="0" w:firstLineChars="0"/>
              <w:jc w:val="center"/>
              <w:rPr>
                <w:color w:val="000000"/>
                <w:kern w:val="2"/>
                <w:szCs w:val="21"/>
              </w:rPr>
            </w:pPr>
            <w:r>
              <w:rPr>
                <w:color w:val="000000"/>
                <w:kern w:val="2"/>
                <w:szCs w:val="21"/>
              </w:rPr>
              <w:t>pH值</w:t>
            </w:r>
          </w:p>
        </w:tc>
        <w:tc>
          <w:tcPr>
            <w:tcW w:w="1467" w:type="dxa"/>
            <w:vAlign w:val="center"/>
          </w:tcPr>
          <w:p>
            <w:pPr>
              <w:widowControl/>
              <w:ind w:firstLine="0" w:firstLineChars="0"/>
              <w:jc w:val="center"/>
              <w:rPr>
                <w:color w:val="000000"/>
                <w:kern w:val="2"/>
                <w:szCs w:val="21"/>
              </w:rPr>
            </w:pPr>
            <w:r>
              <w:rPr>
                <w:color w:val="000000"/>
                <w:kern w:val="2"/>
                <w:szCs w:val="21"/>
              </w:rPr>
              <w:t>锑去除率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13" w:hRule="atLeast"/>
        </w:trPr>
        <w:tc>
          <w:tcPr>
            <w:tcW w:w="1809" w:type="dxa"/>
            <w:vAlign w:val="center"/>
          </w:tcPr>
          <w:p>
            <w:pPr>
              <w:snapToGrid/>
              <w:ind w:firstLine="0" w:firstLineChars="0"/>
              <w:jc w:val="center"/>
              <w:rPr>
                <w:kern w:val="15"/>
                <w:szCs w:val="21"/>
              </w:rPr>
            </w:pPr>
            <w:r>
              <w:rPr>
                <w:kern w:val="15"/>
                <w:szCs w:val="21"/>
              </w:rPr>
              <w:t>聚合氯化铁</w:t>
            </w:r>
          </w:p>
        </w:tc>
        <w:tc>
          <w:tcPr>
            <w:tcW w:w="1843" w:type="dxa"/>
            <w:vAlign w:val="center"/>
          </w:tcPr>
          <w:p>
            <w:pPr>
              <w:snapToGrid/>
              <w:ind w:firstLine="0" w:firstLineChars="0"/>
              <w:jc w:val="center"/>
              <w:rPr>
                <w:kern w:val="15"/>
                <w:szCs w:val="21"/>
              </w:rPr>
            </w:pPr>
            <w:r>
              <w:rPr>
                <w:kern w:val="15"/>
                <w:szCs w:val="21"/>
              </w:rPr>
              <w:t xml:space="preserve">＜80 </w:t>
            </w:r>
            <w:r>
              <w:t>µg/L</w:t>
            </w:r>
          </w:p>
        </w:tc>
        <w:tc>
          <w:tcPr>
            <w:tcW w:w="1987" w:type="dxa"/>
            <w:vAlign w:val="center"/>
          </w:tcPr>
          <w:p>
            <w:pPr>
              <w:snapToGrid/>
              <w:ind w:firstLine="0" w:firstLineChars="0"/>
              <w:jc w:val="center"/>
              <w:rPr>
                <w:kern w:val="15"/>
                <w:szCs w:val="21"/>
              </w:rPr>
            </w:pPr>
            <w:r>
              <w:rPr>
                <w:kern w:val="15"/>
                <w:szCs w:val="21"/>
              </w:rPr>
              <w:t>97 mg/L</w:t>
            </w:r>
          </w:p>
        </w:tc>
        <w:tc>
          <w:tcPr>
            <w:tcW w:w="1416" w:type="dxa"/>
            <w:vAlign w:val="center"/>
          </w:tcPr>
          <w:p>
            <w:pPr>
              <w:snapToGrid/>
              <w:ind w:firstLine="0" w:firstLineChars="0"/>
              <w:jc w:val="center"/>
              <w:rPr>
                <w:kern w:val="15"/>
                <w:szCs w:val="21"/>
              </w:rPr>
            </w:pPr>
            <w:r>
              <w:rPr>
                <w:kern w:val="15"/>
                <w:szCs w:val="21"/>
              </w:rPr>
              <w:t>7.8</w:t>
            </w:r>
          </w:p>
        </w:tc>
        <w:tc>
          <w:tcPr>
            <w:tcW w:w="1467" w:type="dxa"/>
            <w:vAlign w:val="center"/>
          </w:tcPr>
          <w:p>
            <w:pPr>
              <w:snapToGrid/>
              <w:ind w:firstLine="0" w:firstLineChars="0"/>
              <w:jc w:val="center"/>
              <w:rPr>
                <w:kern w:val="15"/>
                <w:szCs w:val="21"/>
              </w:rPr>
            </w:pPr>
            <w:r>
              <w:rPr>
                <w:kern w:val="15"/>
                <w:szCs w:val="21"/>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Merge w:val="restart"/>
            <w:vAlign w:val="center"/>
          </w:tcPr>
          <w:p>
            <w:pPr>
              <w:snapToGrid/>
              <w:ind w:firstLine="0" w:firstLineChars="0"/>
              <w:jc w:val="center"/>
              <w:rPr>
                <w:kern w:val="15"/>
                <w:szCs w:val="21"/>
              </w:rPr>
            </w:pPr>
            <w:r>
              <w:rPr>
                <w:kern w:val="15"/>
                <w:szCs w:val="21"/>
              </w:rPr>
              <w:t>氯化铁</w:t>
            </w:r>
          </w:p>
        </w:tc>
        <w:tc>
          <w:tcPr>
            <w:tcW w:w="1843" w:type="dxa"/>
            <w:vAlign w:val="center"/>
          </w:tcPr>
          <w:p>
            <w:pPr>
              <w:snapToGrid/>
              <w:ind w:firstLine="0" w:firstLineChars="0"/>
              <w:jc w:val="center"/>
              <w:rPr>
                <w:kern w:val="15"/>
                <w:szCs w:val="21"/>
              </w:rPr>
            </w:pPr>
            <w:r>
              <w:rPr>
                <w:kern w:val="15"/>
                <w:szCs w:val="21"/>
              </w:rPr>
              <w:t>5 mg/L</w:t>
            </w:r>
          </w:p>
        </w:tc>
        <w:tc>
          <w:tcPr>
            <w:tcW w:w="1987" w:type="dxa"/>
            <w:vAlign w:val="center"/>
          </w:tcPr>
          <w:p>
            <w:pPr>
              <w:snapToGrid/>
              <w:ind w:firstLine="0" w:firstLineChars="0"/>
              <w:jc w:val="center"/>
              <w:rPr>
                <w:kern w:val="15"/>
                <w:szCs w:val="21"/>
              </w:rPr>
            </w:pPr>
            <w:r>
              <w:rPr>
                <w:kern w:val="15"/>
                <w:szCs w:val="21"/>
              </w:rPr>
              <w:t>500 mg/L</w:t>
            </w:r>
          </w:p>
        </w:tc>
        <w:tc>
          <w:tcPr>
            <w:tcW w:w="1416" w:type="dxa"/>
            <w:vAlign w:val="center"/>
          </w:tcPr>
          <w:p>
            <w:pPr>
              <w:snapToGrid/>
              <w:ind w:firstLine="0" w:firstLineChars="0"/>
              <w:jc w:val="center"/>
              <w:rPr>
                <w:kern w:val="15"/>
                <w:szCs w:val="21"/>
              </w:rPr>
            </w:pPr>
            <w:r>
              <w:rPr>
                <w:kern w:val="15"/>
                <w:szCs w:val="21"/>
              </w:rPr>
              <w:t>7</w:t>
            </w:r>
          </w:p>
        </w:tc>
        <w:tc>
          <w:tcPr>
            <w:tcW w:w="1467" w:type="dxa"/>
            <w:vAlign w:val="center"/>
          </w:tcPr>
          <w:p>
            <w:pPr>
              <w:snapToGrid/>
              <w:ind w:firstLine="0" w:firstLineChars="0"/>
              <w:jc w:val="center"/>
              <w:rPr>
                <w:kern w:val="15"/>
                <w:szCs w:val="21"/>
              </w:rPr>
            </w:pPr>
            <w:r>
              <w:rPr>
                <w:kern w:val="15"/>
                <w:szCs w:val="21"/>
              </w:rPr>
              <w:t>约93%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Merge w:val="continue"/>
            <w:vAlign w:val="center"/>
          </w:tcPr>
          <w:p>
            <w:pPr>
              <w:snapToGrid/>
              <w:ind w:firstLine="0" w:firstLineChars="0"/>
              <w:jc w:val="center"/>
              <w:rPr>
                <w:kern w:val="15"/>
                <w:szCs w:val="21"/>
              </w:rPr>
            </w:pPr>
          </w:p>
        </w:tc>
        <w:tc>
          <w:tcPr>
            <w:tcW w:w="1843" w:type="dxa"/>
            <w:vAlign w:val="center"/>
          </w:tcPr>
          <w:p>
            <w:pPr>
              <w:snapToGrid/>
              <w:ind w:firstLine="0" w:firstLineChars="0"/>
              <w:jc w:val="center"/>
              <w:rPr>
                <w:kern w:val="15"/>
                <w:szCs w:val="21"/>
              </w:rPr>
            </w:pPr>
            <w:r>
              <w:rPr>
                <w:kern w:val="15"/>
                <w:szCs w:val="21"/>
              </w:rPr>
              <w:t xml:space="preserve">50～500 </w:t>
            </w:r>
            <w:r>
              <w:t>µg/L</w:t>
            </w:r>
          </w:p>
        </w:tc>
        <w:tc>
          <w:tcPr>
            <w:tcW w:w="1987" w:type="dxa"/>
            <w:vAlign w:val="center"/>
          </w:tcPr>
          <w:p>
            <w:pPr>
              <w:snapToGrid/>
              <w:ind w:firstLine="0" w:firstLineChars="0"/>
              <w:jc w:val="center"/>
              <w:rPr>
                <w:kern w:val="15"/>
                <w:szCs w:val="21"/>
              </w:rPr>
            </w:pPr>
            <w:r>
              <w:rPr>
                <w:kern w:val="15"/>
                <w:szCs w:val="21"/>
              </w:rPr>
              <w:t>108 mg/L</w:t>
            </w:r>
          </w:p>
        </w:tc>
        <w:tc>
          <w:tcPr>
            <w:tcW w:w="1416" w:type="dxa"/>
            <w:vAlign w:val="center"/>
          </w:tcPr>
          <w:p>
            <w:pPr>
              <w:snapToGrid/>
              <w:ind w:firstLine="0" w:firstLineChars="0"/>
              <w:jc w:val="center"/>
              <w:rPr>
                <w:kern w:val="15"/>
                <w:szCs w:val="21"/>
              </w:rPr>
            </w:pPr>
            <w:r>
              <w:rPr>
                <w:kern w:val="15"/>
                <w:szCs w:val="21"/>
              </w:rPr>
              <w:t>6</w:t>
            </w:r>
          </w:p>
        </w:tc>
        <w:tc>
          <w:tcPr>
            <w:tcW w:w="1467" w:type="dxa"/>
            <w:vAlign w:val="center"/>
          </w:tcPr>
          <w:p>
            <w:pPr>
              <w:snapToGrid/>
              <w:ind w:firstLine="0" w:firstLineChars="0"/>
              <w:jc w:val="center"/>
              <w:rPr>
                <w:kern w:val="15"/>
                <w:szCs w:val="21"/>
              </w:rPr>
            </w:pPr>
            <w:r>
              <w:rPr>
                <w:kern w:val="15"/>
                <w:szCs w:val="21"/>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Merge w:val="restart"/>
            <w:vAlign w:val="center"/>
          </w:tcPr>
          <w:p>
            <w:pPr>
              <w:snapToGrid/>
              <w:ind w:firstLine="0" w:firstLineChars="0"/>
              <w:jc w:val="center"/>
              <w:rPr>
                <w:kern w:val="15"/>
                <w:szCs w:val="21"/>
              </w:rPr>
            </w:pPr>
            <w:r>
              <w:rPr>
                <w:kern w:val="15"/>
                <w:szCs w:val="21"/>
              </w:rPr>
              <w:t>聚合硫酸铁</w:t>
            </w:r>
          </w:p>
        </w:tc>
        <w:tc>
          <w:tcPr>
            <w:tcW w:w="1843" w:type="dxa"/>
            <w:vAlign w:val="center"/>
          </w:tcPr>
          <w:p>
            <w:pPr>
              <w:snapToGrid/>
              <w:ind w:firstLine="0" w:firstLineChars="0"/>
              <w:jc w:val="center"/>
              <w:rPr>
                <w:kern w:val="15"/>
                <w:szCs w:val="21"/>
              </w:rPr>
            </w:pPr>
            <w:r>
              <w:rPr>
                <w:kern w:val="15"/>
                <w:szCs w:val="21"/>
              </w:rPr>
              <w:t xml:space="preserve">32.5~142.8 </w:t>
            </w:r>
            <w:r>
              <w:t>µg/L</w:t>
            </w:r>
          </w:p>
        </w:tc>
        <w:tc>
          <w:tcPr>
            <w:tcW w:w="1987" w:type="dxa"/>
            <w:vAlign w:val="center"/>
          </w:tcPr>
          <w:p>
            <w:pPr>
              <w:snapToGrid/>
              <w:ind w:firstLine="0" w:firstLineChars="0"/>
              <w:jc w:val="center"/>
              <w:rPr>
                <w:kern w:val="15"/>
                <w:szCs w:val="21"/>
              </w:rPr>
            </w:pPr>
            <w:r>
              <w:rPr>
                <w:kern w:val="15"/>
                <w:szCs w:val="21"/>
              </w:rPr>
              <w:t>150 mg/L</w:t>
            </w:r>
          </w:p>
        </w:tc>
        <w:tc>
          <w:tcPr>
            <w:tcW w:w="1416" w:type="dxa"/>
            <w:vAlign w:val="center"/>
          </w:tcPr>
          <w:p>
            <w:pPr>
              <w:snapToGrid/>
              <w:ind w:firstLine="0" w:firstLineChars="0"/>
              <w:jc w:val="center"/>
              <w:rPr>
                <w:kern w:val="15"/>
                <w:szCs w:val="21"/>
              </w:rPr>
            </w:pPr>
            <w:r>
              <w:rPr>
                <w:kern w:val="15"/>
                <w:szCs w:val="21"/>
              </w:rPr>
              <w:t>＜6</w:t>
            </w:r>
          </w:p>
        </w:tc>
        <w:tc>
          <w:tcPr>
            <w:tcW w:w="1467" w:type="dxa"/>
            <w:vAlign w:val="center"/>
          </w:tcPr>
          <w:p>
            <w:pPr>
              <w:snapToGrid/>
              <w:ind w:firstLine="0" w:firstLineChars="0"/>
              <w:jc w:val="center"/>
              <w:rPr>
                <w:kern w:val="15"/>
                <w:szCs w:val="21"/>
              </w:rPr>
            </w:pPr>
            <w:r>
              <w:rPr>
                <w:kern w:val="15"/>
                <w:szCs w:val="21"/>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Merge w:val="continue"/>
            <w:vAlign w:val="center"/>
          </w:tcPr>
          <w:p>
            <w:pPr>
              <w:snapToGrid/>
              <w:ind w:firstLine="0" w:firstLineChars="0"/>
              <w:jc w:val="center"/>
              <w:rPr>
                <w:kern w:val="15"/>
                <w:szCs w:val="21"/>
              </w:rPr>
            </w:pPr>
          </w:p>
        </w:tc>
        <w:tc>
          <w:tcPr>
            <w:tcW w:w="1843" w:type="dxa"/>
            <w:vAlign w:val="center"/>
          </w:tcPr>
          <w:p>
            <w:pPr>
              <w:snapToGrid/>
              <w:ind w:firstLine="0" w:firstLineChars="0"/>
              <w:jc w:val="center"/>
              <w:rPr>
                <w:kern w:val="15"/>
                <w:szCs w:val="21"/>
              </w:rPr>
            </w:pPr>
            <w:r>
              <w:rPr>
                <w:kern w:val="15"/>
                <w:szCs w:val="21"/>
              </w:rPr>
              <w:t>5 mg/L</w:t>
            </w:r>
          </w:p>
        </w:tc>
        <w:tc>
          <w:tcPr>
            <w:tcW w:w="1987" w:type="dxa"/>
            <w:vAlign w:val="center"/>
          </w:tcPr>
          <w:p>
            <w:pPr>
              <w:snapToGrid/>
              <w:ind w:firstLine="0" w:firstLineChars="0"/>
              <w:jc w:val="center"/>
              <w:rPr>
                <w:kern w:val="15"/>
                <w:szCs w:val="21"/>
              </w:rPr>
            </w:pPr>
            <w:r>
              <w:rPr>
                <w:kern w:val="15"/>
                <w:szCs w:val="21"/>
              </w:rPr>
              <w:t>500 mg/L</w:t>
            </w:r>
          </w:p>
        </w:tc>
        <w:tc>
          <w:tcPr>
            <w:tcW w:w="1416" w:type="dxa"/>
            <w:vAlign w:val="center"/>
          </w:tcPr>
          <w:p>
            <w:pPr>
              <w:snapToGrid/>
              <w:ind w:firstLine="0" w:firstLineChars="0"/>
              <w:jc w:val="center"/>
              <w:rPr>
                <w:kern w:val="15"/>
                <w:szCs w:val="21"/>
              </w:rPr>
            </w:pPr>
            <w:r>
              <w:rPr>
                <w:kern w:val="15"/>
                <w:szCs w:val="21"/>
              </w:rPr>
              <w:t>7</w:t>
            </w:r>
          </w:p>
        </w:tc>
        <w:tc>
          <w:tcPr>
            <w:tcW w:w="1467" w:type="dxa"/>
            <w:vAlign w:val="center"/>
          </w:tcPr>
          <w:p>
            <w:pPr>
              <w:snapToGrid/>
              <w:ind w:firstLine="0" w:firstLineChars="0"/>
              <w:jc w:val="center"/>
              <w:rPr>
                <w:kern w:val="15"/>
                <w:szCs w:val="21"/>
              </w:rPr>
            </w:pPr>
            <w:r>
              <w:rPr>
                <w:kern w:val="15"/>
                <w:szCs w:val="21"/>
              </w:rPr>
              <w:t>约93%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Align w:val="center"/>
          </w:tcPr>
          <w:p>
            <w:pPr>
              <w:snapToGrid/>
              <w:ind w:firstLine="0" w:firstLineChars="0"/>
              <w:jc w:val="center"/>
              <w:rPr>
                <w:kern w:val="15"/>
                <w:szCs w:val="21"/>
              </w:rPr>
            </w:pPr>
            <w:r>
              <w:rPr>
                <w:kern w:val="15"/>
                <w:szCs w:val="21"/>
              </w:rPr>
              <w:t>硫酸亚铁</w:t>
            </w:r>
          </w:p>
        </w:tc>
        <w:tc>
          <w:tcPr>
            <w:tcW w:w="1843" w:type="dxa"/>
            <w:vAlign w:val="center"/>
          </w:tcPr>
          <w:p>
            <w:pPr>
              <w:snapToGrid/>
              <w:ind w:firstLine="0" w:firstLineChars="0"/>
              <w:jc w:val="center"/>
              <w:rPr>
                <w:kern w:val="15"/>
                <w:szCs w:val="21"/>
              </w:rPr>
            </w:pPr>
            <w:r>
              <w:rPr>
                <w:kern w:val="15"/>
                <w:szCs w:val="21"/>
              </w:rPr>
              <w:t>5 mg/L</w:t>
            </w:r>
          </w:p>
        </w:tc>
        <w:tc>
          <w:tcPr>
            <w:tcW w:w="1987" w:type="dxa"/>
            <w:vAlign w:val="center"/>
          </w:tcPr>
          <w:p>
            <w:pPr>
              <w:snapToGrid/>
              <w:ind w:firstLine="0" w:firstLineChars="0"/>
              <w:jc w:val="center"/>
              <w:rPr>
                <w:kern w:val="15"/>
                <w:szCs w:val="21"/>
              </w:rPr>
            </w:pPr>
            <w:r>
              <w:rPr>
                <w:kern w:val="15"/>
                <w:szCs w:val="21"/>
              </w:rPr>
              <w:t>500 mg/L</w:t>
            </w:r>
          </w:p>
        </w:tc>
        <w:tc>
          <w:tcPr>
            <w:tcW w:w="1416" w:type="dxa"/>
            <w:vAlign w:val="center"/>
          </w:tcPr>
          <w:p>
            <w:pPr>
              <w:snapToGrid/>
              <w:ind w:firstLine="0" w:firstLineChars="0"/>
              <w:jc w:val="center"/>
              <w:rPr>
                <w:kern w:val="15"/>
                <w:szCs w:val="21"/>
              </w:rPr>
            </w:pPr>
            <w:r>
              <w:rPr>
                <w:kern w:val="15"/>
                <w:szCs w:val="21"/>
              </w:rPr>
              <w:t>7</w:t>
            </w:r>
          </w:p>
        </w:tc>
        <w:tc>
          <w:tcPr>
            <w:tcW w:w="1467" w:type="dxa"/>
            <w:vAlign w:val="center"/>
          </w:tcPr>
          <w:p>
            <w:pPr>
              <w:snapToGrid/>
              <w:ind w:firstLine="0" w:firstLineChars="0"/>
              <w:jc w:val="center"/>
              <w:rPr>
                <w:kern w:val="15"/>
                <w:szCs w:val="21"/>
              </w:rPr>
            </w:pPr>
            <w:r>
              <w:rPr>
                <w:kern w:val="15"/>
                <w:szCs w:val="21"/>
              </w:rPr>
              <w:t>约93%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Align w:val="center"/>
          </w:tcPr>
          <w:p>
            <w:pPr>
              <w:snapToGrid/>
              <w:ind w:firstLine="0" w:firstLineChars="0"/>
              <w:jc w:val="center"/>
              <w:rPr>
                <w:kern w:val="15"/>
                <w:szCs w:val="21"/>
              </w:rPr>
            </w:pPr>
            <w:r>
              <w:rPr>
                <w:kern w:val="15"/>
                <w:szCs w:val="21"/>
              </w:rPr>
              <w:t>聚合氯化铝</w:t>
            </w:r>
          </w:p>
        </w:tc>
        <w:tc>
          <w:tcPr>
            <w:tcW w:w="1843" w:type="dxa"/>
            <w:vAlign w:val="center"/>
          </w:tcPr>
          <w:p>
            <w:pPr>
              <w:snapToGrid/>
              <w:ind w:firstLine="0" w:firstLineChars="0"/>
              <w:jc w:val="center"/>
              <w:rPr>
                <w:kern w:val="15"/>
                <w:szCs w:val="21"/>
              </w:rPr>
            </w:pPr>
            <w:r>
              <w:rPr>
                <w:kern w:val="15"/>
                <w:szCs w:val="21"/>
              </w:rPr>
              <w:t xml:space="preserve">36 </w:t>
            </w:r>
            <w:r>
              <w:t>µg/L</w:t>
            </w:r>
          </w:p>
        </w:tc>
        <w:tc>
          <w:tcPr>
            <w:tcW w:w="1987" w:type="dxa"/>
            <w:vAlign w:val="center"/>
          </w:tcPr>
          <w:p>
            <w:pPr>
              <w:snapToGrid/>
              <w:ind w:firstLine="0" w:firstLineChars="0"/>
              <w:jc w:val="center"/>
              <w:rPr>
                <w:kern w:val="15"/>
                <w:szCs w:val="21"/>
              </w:rPr>
            </w:pPr>
            <w:r>
              <w:rPr>
                <w:kern w:val="15"/>
                <w:szCs w:val="21"/>
              </w:rPr>
              <w:t>130 mg/L</w:t>
            </w:r>
          </w:p>
        </w:tc>
        <w:tc>
          <w:tcPr>
            <w:tcW w:w="1416" w:type="dxa"/>
            <w:vAlign w:val="center"/>
          </w:tcPr>
          <w:p>
            <w:pPr>
              <w:snapToGrid/>
              <w:ind w:firstLine="0" w:firstLineChars="0"/>
              <w:jc w:val="center"/>
              <w:rPr>
                <w:kern w:val="15"/>
                <w:szCs w:val="21"/>
              </w:rPr>
            </w:pPr>
            <w:r>
              <w:rPr>
                <w:kern w:val="15"/>
                <w:szCs w:val="21"/>
              </w:rPr>
              <w:t>＜6</w:t>
            </w:r>
          </w:p>
        </w:tc>
        <w:tc>
          <w:tcPr>
            <w:tcW w:w="1467" w:type="dxa"/>
            <w:vAlign w:val="center"/>
          </w:tcPr>
          <w:p>
            <w:pPr>
              <w:snapToGrid/>
              <w:ind w:firstLine="0" w:firstLineChars="0"/>
              <w:jc w:val="center"/>
              <w:rPr>
                <w:kern w:val="15"/>
                <w:szCs w:val="21"/>
              </w:rPr>
            </w:pPr>
            <w:r>
              <w:rPr>
                <w:kern w:val="15"/>
                <w:szCs w:val="21"/>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113" w:hRule="atLeast"/>
        </w:trPr>
        <w:tc>
          <w:tcPr>
            <w:tcW w:w="1809" w:type="dxa"/>
            <w:vAlign w:val="center"/>
          </w:tcPr>
          <w:p>
            <w:pPr>
              <w:snapToGrid/>
              <w:ind w:firstLine="0" w:firstLineChars="0"/>
              <w:jc w:val="center"/>
              <w:rPr>
                <w:kern w:val="15"/>
                <w:szCs w:val="21"/>
              </w:rPr>
            </w:pPr>
            <w:r>
              <w:rPr>
                <w:kern w:val="15"/>
                <w:szCs w:val="21"/>
              </w:rPr>
              <w:t>硫酸铝</w:t>
            </w:r>
          </w:p>
        </w:tc>
        <w:tc>
          <w:tcPr>
            <w:tcW w:w="1843" w:type="dxa"/>
            <w:vAlign w:val="center"/>
          </w:tcPr>
          <w:p>
            <w:pPr>
              <w:snapToGrid/>
              <w:ind w:firstLine="0" w:firstLineChars="0"/>
              <w:jc w:val="center"/>
              <w:rPr>
                <w:kern w:val="15"/>
                <w:szCs w:val="21"/>
              </w:rPr>
            </w:pPr>
            <w:r>
              <w:rPr>
                <w:kern w:val="15"/>
                <w:szCs w:val="21"/>
              </w:rPr>
              <w:t xml:space="preserve">50 </w:t>
            </w:r>
            <w:r>
              <w:t>µg/L</w:t>
            </w:r>
          </w:p>
        </w:tc>
        <w:tc>
          <w:tcPr>
            <w:tcW w:w="1987" w:type="dxa"/>
            <w:vAlign w:val="center"/>
          </w:tcPr>
          <w:p>
            <w:pPr>
              <w:snapToGrid/>
              <w:ind w:firstLine="0" w:firstLineChars="0"/>
              <w:jc w:val="center"/>
              <w:rPr>
                <w:kern w:val="15"/>
                <w:szCs w:val="21"/>
              </w:rPr>
            </w:pPr>
            <w:r>
              <w:rPr>
                <w:kern w:val="15"/>
                <w:szCs w:val="21"/>
              </w:rPr>
              <w:t>103 mg/L</w:t>
            </w:r>
          </w:p>
        </w:tc>
        <w:tc>
          <w:tcPr>
            <w:tcW w:w="1416" w:type="dxa"/>
            <w:vAlign w:val="center"/>
          </w:tcPr>
          <w:p>
            <w:pPr>
              <w:snapToGrid/>
              <w:ind w:firstLine="0" w:firstLineChars="0"/>
              <w:jc w:val="center"/>
              <w:rPr>
                <w:kern w:val="15"/>
                <w:szCs w:val="21"/>
              </w:rPr>
            </w:pPr>
            <w:r>
              <w:rPr>
                <w:kern w:val="15"/>
                <w:szCs w:val="21"/>
              </w:rPr>
              <w:t>3~10</w:t>
            </w:r>
          </w:p>
        </w:tc>
        <w:tc>
          <w:tcPr>
            <w:tcW w:w="1467" w:type="dxa"/>
            <w:vAlign w:val="center"/>
          </w:tcPr>
          <w:p>
            <w:pPr>
              <w:snapToGrid/>
              <w:ind w:firstLine="0" w:firstLineChars="0"/>
              <w:jc w:val="center"/>
              <w:rPr>
                <w:kern w:val="15"/>
                <w:szCs w:val="21"/>
              </w:rPr>
            </w:pPr>
            <w:r>
              <w:rPr>
                <w:kern w:val="15"/>
                <w:szCs w:val="21"/>
              </w:rPr>
              <w:t>＜20%</w:t>
            </w:r>
          </w:p>
        </w:tc>
      </w:tr>
    </w:tbl>
    <w:p>
      <w:pPr>
        <w:snapToGrid/>
        <w:ind w:firstLine="420"/>
      </w:pPr>
      <w:r>
        <w:t>此外，也可以通过向酸性或中性废水中投入碱剂，利用酸碱中和反应提高废水的pH，并使重金属离子与氢氧根离子发生反应，生成难溶的重金属氢氧化物沉淀而去除废水中的锑，传统的中和剂主要有石灰或石灰乳，中和沉淀处理后的重金属废水pH值较高，需经过二次处理才能排放。</w:t>
      </w:r>
    </w:p>
    <w:p>
      <w:pPr>
        <w:pStyle w:val="4"/>
      </w:pPr>
      <w:bookmarkStart w:id="25" w:name="_Toc424043851"/>
      <w:r>
        <w:t>4.2.2 吸附法</w:t>
      </w:r>
      <w:bookmarkEnd w:id="25"/>
    </w:p>
    <w:p>
      <w:pPr>
        <w:snapToGrid/>
        <w:ind w:firstLine="420"/>
      </w:pPr>
      <w:r>
        <w:t>吸附法是一种简单易行的废水处理技术，一般适合于处理量大、浓度较低的水处理体系。可以用作锑吸附剂的材料有针铁矿、赤铁矿、二氧化硅、蒙脱石、活性碳、纤维素、几丁质、壳聚糖、谷壳灰以及天然或合成的金属氧化物及其水合氧化物等。实验研究表明：不同吸附剂对锑的吸附效果见表3。</w:t>
      </w:r>
    </w:p>
    <w:p>
      <w:pPr>
        <w:widowControl/>
        <w:snapToGrid/>
        <w:ind w:firstLine="0" w:firstLineChars="0"/>
        <w:jc w:val="center"/>
        <w:rPr>
          <w:rFonts w:eastAsia="黑体"/>
          <w:iCs/>
        </w:rPr>
      </w:pPr>
      <w:r>
        <w:rPr>
          <w:rFonts w:eastAsia="黑体"/>
          <w:iCs/>
        </w:rPr>
        <w:t>表3  不同吸附剂对锑的吸附效果一览表</w:t>
      </w:r>
    </w:p>
    <w:tbl>
      <w:tblPr>
        <w:tblStyle w:val="3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952"/>
        <w:gridCol w:w="1728"/>
        <w:gridCol w:w="3347"/>
        <w:gridCol w:w="14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227" w:hRule="atLeast"/>
          <w:jc w:val="center"/>
        </w:trPr>
        <w:tc>
          <w:tcPr>
            <w:tcW w:w="1952" w:type="dxa"/>
            <w:vAlign w:val="center"/>
          </w:tcPr>
          <w:p>
            <w:pPr>
              <w:widowControl/>
              <w:ind w:firstLine="0" w:firstLineChars="0"/>
              <w:jc w:val="center"/>
              <w:rPr>
                <w:color w:val="000000"/>
                <w:kern w:val="2"/>
                <w:szCs w:val="21"/>
              </w:rPr>
            </w:pPr>
            <w:r>
              <w:rPr>
                <w:color w:val="000000"/>
                <w:kern w:val="2"/>
                <w:szCs w:val="21"/>
              </w:rPr>
              <w:t>吸附剂名称</w:t>
            </w:r>
          </w:p>
        </w:tc>
        <w:tc>
          <w:tcPr>
            <w:tcW w:w="1728" w:type="dxa"/>
            <w:vAlign w:val="center"/>
          </w:tcPr>
          <w:p>
            <w:pPr>
              <w:widowControl/>
              <w:ind w:firstLine="0" w:firstLineChars="0"/>
              <w:jc w:val="center"/>
              <w:rPr>
                <w:color w:val="000000"/>
                <w:kern w:val="2"/>
                <w:szCs w:val="21"/>
              </w:rPr>
            </w:pPr>
            <w:r>
              <w:rPr>
                <w:color w:val="000000"/>
                <w:kern w:val="2"/>
                <w:szCs w:val="21"/>
              </w:rPr>
              <w:t>锑初始浓度</w:t>
            </w:r>
          </w:p>
        </w:tc>
        <w:tc>
          <w:tcPr>
            <w:tcW w:w="3347" w:type="dxa"/>
            <w:vAlign w:val="center"/>
          </w:tcPr>
          <w:p>
            <w:pPr>
              <w:widowControl/>
              <w:ind w:firstLine="0" w:firstLineChars="0"/>
              <w:jc w:val="center"/>
              <w:rPr>
                <w:color w:val="000000"/>
                <w:kern w:val="2"/>
                <w:szCs w:val="21"/>
              </w:rPr>
            </w:pPr>
            <w:r>
              <w:rPr>
                <w:color w:val="000000"/>
                <w:kern w:val="2"/>
                <w:szCs w:val="21"/>
              </w:rPr>
              <w:t>锑去除率</w:t>
            </w:r>
          </w:p>
        </w:tc>
        <w:tc>
          <w:tcPr>
            <w:tcW w:w="1495" w:type="dxa"/>
            <w:vAlign w:val="center"/>
          </w:tcPr>
          <w:p>
            <w:pPr>
              <w:widowControl/>
              <w:ind w:firstLine="0" w:firstLineChars="0"/>
              <w:jc w:val="center"/>
              <w:rPr>
                <w:color w:val="000000"/>
                <w:kern w:val="2"/>
                <w:szCs w:val="21"/>
              </w:rPr>
            </w:pPr>
            <w:r>
              <w:rPr>
                <w:color w:val="000000"/>
                <w:kern w:val="2"/>
                <w:szCs w:val="21"/>
              </w:rPr>
              <w:t>吸附容量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227" w:hRule="atLeast"/>
          <w:jc w:val="center"/>
        </w:trPr>
        <w:tc>
          <w:tcPr>
            <w:tcW w:w="1952" w:type="dxa"/>
            <w:vAlign w:val="center"/>
          </w:tcPr>
          <w:p>
            <w:pPr>
              <w:snapToGrid/>
              <w:ind w:firstLine="0" w:firstLineChars="0"/>
              <w:jc w:val="center"/>
              <w:rPr>
                <w:kern w:val="15"/>
                <w:szCs w:val="21"/>
              </w:rPr>
            </w:pPr>
            <w:r>
              <w:rPr>
                <w:kern w:val="15"/>
                <w:szCs w:val="21"/>
              </w:rPr>
              <w:t>改性赤铁矿</w:t>
            </w:r>
          </w:p>
        </w:tc>
        <w:tc>
          <w:tcPr>
            <w:tcW w:w="1728" w:type="dxa"/>
            <w:vAlign w:val="center"/>
          </w:tcPr>
          <w:p>
            <w:pPr>
              <w:snapToGrid/>
              <w:ind w:firstLine="0" w:firstLineChars="0"/>
              <w:jc w:val="center"/>
              <w:rPr>
                <w:kern w:val="15"/>
                <w:szCs w:val="21"/>
              </w:rPr>
            </w:pPr>
            <w:r>
              <w:rPr>
                <w:kern w:val="15"/>
                <w:szCs w:val="21"/>
              </w:rPr>
              <w:t xml:space="preserve">110 </w:t>
            </w:r>
            <w:r>
              <w:t>µg/L</w:t>
            </w:r>
          </w:p>
        </w:tc>
        <w:tc>
          <w:tcPr>
            <w:tcW w:w="3347" w:type="dxa"/>
            <w:vAlign w:val="center"/>
          </w:tcPr>
          <w:p>
            <w:pPr>
              <w:snapToGrid/>
              <w:ind w:firstLine="0" w:firstLineChars="0"/>
              <w:jc w:val="center"/>
              <w:rPr>
                <w:kern w:val="15"/>
                <w:szCs w:val="21"/>
              </w:rPr>
            </w:pPr>
            <w:r>
              <w:rPr>
                <w:kern w:val="15"/>
                <w:szCs w:val="21"/>
              </w:rPr>
              <w:t>＞94%</w:t>
            </w:r>
          </w:p>
        </w:tc>
        <w:tc>
          <w:tcPr>
            <w:tcW w:w="1495" w:type="dxa"/>
            <w:vAlign w:val="center"/>
          </w:tcPr>
          <w:p>
            <w:pPr>
              <w:snapToGrid/>
              <w:ind w:firstLine="0" w:firstLineChars="0"/>
              <w:jc w:val="center"/>
              <w:rPr>
                <w:kern w:val="15"/>
                <w:szCs w:val="21"/>
              </w:rPr>
            </w:pPr>
            <w:r>
              <w:rPr>
                <w:kern w:val="15"/>
                <w:szCs w:val="21"/>
              </w:rPr>
              <w:t>36.7 mg/g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27" w:hRule="atLeast"/>
          <w:jc w:val="center"/>
        </w:trPr>
        <w:tc>
          <w:tcPr>
            <w:tcW w:w="1952" w:type="dxa"/>
            <w:vAlign w:val="center"/>
          </w:tcPr>
          <w:p>
            <w:pPr>
              <w:snapToGrid/>
              <w:ind w:firstLine="0" w:firstLineChars="0"/>
              <w:jc w:val="center"/>
              <w:rPr>
                <w:kern w:val="15"/>
                <w:szCs w:val="21"/>
              </w:rPr>
            </w:pPr>
            <w:r>
              <w:rPr>
                <w:kern w:val="15"/>
                <w:szCs w:val="21"/>
              </w:rPr>
              <w:t>膨润土</w:t>
            </w:r>
          </w:p>
        </w:tc>
        <w:tc>
          <w:tcPr>
            <w:tcW w:w="1728" w:type="dxa"/>
            <w:vAlign w:val="center"/>
          </w:tcPr>
          <w:p>
            <w:pPr>
              <w:snapToGrid/>
              <w:ind w:firstLine="0" w:firstLineChars="0"/>
              <w:jc w:val="center"/>
              <w:rPr>
                <w:kern w:val="15"/>
                <w:szCs w:val="21"/>
              </w:rPr>
            </w:pPr>
            <w:r>
              <w:rPr>
                <w:kern w:val="15"/>
                <w:szCs w:val="21"/>
              </w:rPr>
              <w:t xml:space="preserve">100 </w:t>
            </w:r>
            <w:r>
              <w:t>µg/L</w:t>
            </w:r>
          </w:p>
        </w:tc>
        <w:tc>
          <w:tcPr>
            <w:tcW w:w="3347" w:type="dxa"/>
            <w:vAlign w:val="center"/>
          </w:tcPr>
          <w:p>
            <w:pPr>
              <w:snapToGrid/>
              <w:ind w:firstLine="0" w:firstLineChars="0"/>
              <w:jc w:val="center"/>
              <w:rPr>
                <w:kern w:val="15"/>
                <w:szCs w:val="21"/>
              </w:rPr>
            </w:pPr>
            <w:r>
              <w:rPr>
                <w:kern w:val="15"/>
                <w:szCs w:val="21"/>
              </w:rPr>
              <w:t>锑（+3）90%；锑（+5）80%</w:t>
            </w:r>
          </w:p>
        </w:tc>
        <w:tc>
          <w:tcPr>
            <w:tcW w:w="1495" w:type="dxa"/>
            <w:vAlign w:val="center"/>
          </w:tcPr>
          <w:p>
            <w:pPr>
              <w:snapToGrid/>
              <w:ind w:firstLine="0" w:firstLineChars="0"/>
              <w:jc w:val="center"/>
              <w:rPr>
                <w:kern w:val="15"/>
                <w:szCs w:val="21"/>
              </w:rPr>
            </w:pPr>
            <w:r>
              <w:rPr>
                <w:kern w:val="15"/>
                <w:szCs w:val="21"/>
              </w:rPr>
              <w:t>10.7 mg/g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27" w:hRule="atLeast"/>
          <w:jc w:val="center"/>
        </w:trPr>
        <w:tc>
          <w:tcPr>
            <w:tcW w:w="1952" w:type="dxa"/>
            <w:vAlign w:val="center"/>
          </w:tcPr>
          <w:p>
            <w:pPr>
              <w:snapToGrid/>
              <w:ind w:firstLine="0" w:firstLineChars="0"/>
              <w:jc w:val="center"/>
              <w:rPr>
                <w:kern w:val="15"/>
                <w:szCs w:val="21"/>
              </w:rPr>
            </w:pPr>
            <w:r>
              <w:rPr>
                <w:kern w:val="15"/>
                <w:szCs w:val="21"/>
              </w:rPr>
              <w:t>改性MnFe</w:t>
            </w:r>
            <w:r>
              <w:rPr>
                <w:kern w:val="15"/>
                <w:szCs w:val="21"/>
                <w:vertAlign w:val="subscript"/>
              </w:rPr>
              <w:t>2</w:t>
            </w:r>
            <w:r>
              <w:rPr>
                <w:kern w:val="15"/>
                <w:szCs w:val="21"/>
              </w:rPr>
              <w:t>O</w:t>
            </w:r>
            <w:r>
              <w:rPr>
                <w:kern w:val="15"/>
                <w:szCs w:val="21"/>
                <w:vertAlign w:val="subscript"/>
              </w:rPr>
              <w:t>4</w:t>
            </w:r>
          </w:p>
        </w:tc>
        <w:tc>
          <w:tcPr>
            <w:tcW w:w="1728" w:type="dxa"/>
            <w:vAlign w:val="center"/>
          </w:tcPr>
          <w:p>
            <w:pPr>
              <w:snapToGrid/>
              <w:ind w:firstLine="0" w:firstLineChars="0"/>
              <w:jc w:val="center"/>
              <w:rPr>
                <w:kern w:val="15"/>
                <w:szCs w:val="21"/>
              </w:rPr>
            </w:pPr>
            <w:r>
              <w:rPr>
                <w:kern w:val="15"/>
                <w:szCs w:val="21"/>
              </w:rPr>
              <w:t>0.411 mmol/kg</w:t>
            </w:r>
          </w:p>
        </w:tc>
        <w:tc>
          <w:tcPr>
            <w:tcW w:w="3347" w:type="dxa"/>
            <w:vAlign w:val="center"/>
          </w:tcPr>
          <w:p>
            <w:pPr>
              <w:snapToGrid/>
              <w:ind w:firstLine="0" w:firstLineChars="0"/>
              <w:jc w:val="center"/>
              <w:rPr>
                <w:kern w:val="15"/>
                <w:szCs w:val="21"/>
              </w:rPr>
            </w:pPr>
            <w:r>
              <w:rPr>
                <w:kern w:val="15"/>
                <w:szCs w:val="21"/>
              </w:rPr>
              <w:t>80%</w:t>
            </w:r>
          </w:p>
        </w:tc>
        <w:tc>
          <w:tcPr>
            <w:tcW w:w="1495" w:type="dxa"/>
            <w:vAlign w:val="center"/>
          </w:tcPr>
          <w:p>
            <w:pPr>
              <w:snapToGrid/>
              <w:ind w:firstLine="0" w:firstLineChars="0"/>
              <w:jc w:val="center"/>
              <w:rPr>
                <w:kern w:val="15"/>
                <w:szCs w:val="21"/>
              </w:rPr>
            </w:pPr>
            <w:r>
              <w:rPr>
                <w:kern w:val="15"/>
                <w:szCs w:val="21"/>
              </w:rPr>
              <w:t>7.78 mg/g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27" w:hRule="atLeast"/>
          <w:jc w:val="center"/>
        </w:trPr>
        <w:tc>
          <w:tcPr>
            <w:tcW w:w="1952" w:type="dxa"/>
            <w:vAlign w:val="center"/>
          </w:tcPr>
          <w:p>
            <w:pPr>
              <w:snapToGrid/>
              <w:ind w:firstLine="0" w:firstLineChars="0"/>
              <w:jc w:val="center"/>
              <w:rPr>
                <w:kern w:val="15"/>
                <w:szCs w:val="21"/>
              </w:rPr>
            </w:pPr>
            <w:r>
              <w:rPr>
                <w:kern w:val="15"/>
                <w:szCs w:val="21"/>
              </w:rPr>
              <w:t>MnFe</w:t>
            </w:r>
            <w:r>
              <w:rPr>
                <w:kern w:val="15"/>
                <w:szCs w:val="21"/>
                <w:vertAlign w:val="subscript"/>
              </w:rPr>
              <w:t>2</w:t>
            </w:r>
            <w:r>
              <w:rPr>
                <w:kern w:val="15"/>
                <w:szCs w:val="21"/>
              </w:rPr>
              <w:t>O</w:t>
            </w:r>
            <w:r>
              <w:rPr>
                <w:kern w:val="15"/>
                <w:szCs w:val="21"/>
                <w:vertAlign w:val="subscript"/>
              </w:rPr>
              <w:t>4</w:t>
            </w:r>
          </w:p>
        </w:tc>
        <w:tc>
          <w:tcPr>
            <w:tcW w:w="1728" w:type="dxa"/>
            <w:vAlign w:val="center"/>
          </w:tcPr>
          <w:p>
            <w:pPr>
              <w:snapToGrid/>
              <w:ind w:firstLine="0" w:firstLineChars="0"/>
              <w:jc w:val="center"/>
              <w:rPr>
                <w:kern w:val="15"/>
                <w:szCs w:val="21"/>
              </w:rPr>
            </w:pPr>
            <w:r>
              <w:rPr>
                <w:kern w:val="15"/>
                <w:szCs w:val="21"/>
              </w:rPr>
              <w:t>0.411 mmol/kg</w:t>
            </w:r>
          </w:p>
        </w:tc>
        <w:tc>
          <w:tcPr>
            <w:tcW w:w="3347" w:type="dxa"/>
            <w:vAlign w:val="center"/>
          </w:tcPr>
          <w:p>
            <w:pPr>
              <w:snapToGrid/>
              <w:ind w:firstLine="0" w:firstLineChars="0"/>
              <w:jc w:val="center"/>
              <w:rPr>
                <w:kern w:val="15"/>
                <w:szCs w:val="21"/>
              </w:rPr>
            </w:pPr>
            <w:r>
              <w:rPr>
                <w:kern w:val="15"/>
                <w:szCs w:val="21"/>
              </w:rPr>
              <w:t>接近100%</w:t>
            </w:r>
          </w:p>
        </w:tc>
        <w:tc>
          <w:tcPr>
            <w:tcW w:w="1495" w:type="dxa"/>
            <w:vAlign w:val="center"/>
          </w:tcPr>
          <w:p>
            <w:pPr>
              <w:snapToGrid/>
              <w:ind w:firstLine="0" w:firstLineChars="0"/>
              <w:jc w:val="center"/>
              <w:rPr>
                <w:kern w:val="15"/>
                <w:szCs w:val="21"/>
              </w:rPr>
            </w:pPr>
            <w:r>
              <w:rPr>
                <w:kern w:val="15"/>
                <w:szCs w:val="21"/>
              </w:rPr>
              <w:t>10.66 mg/g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27" w:hRule="atLeast"/>
          <w:jc w:val="center"/>
        </w:trPr>
        <w:tc>
          <w:tcPr>
            <w:tcW w:w="1952" w:type="dxa"/>
            <w:vAlign w:val="center"/>
          </w:tcPr>
          <w:p>
            <w:pPr>
              <w:snapToGrid/>
              <w:ind w:firstLine="0" w:firstLineChars="0"/>
              <w:jc w:val="center"/>
              <w:rPr>
                <w:kern w:val="15"/>
                <w:szCs w:val="21"/>
              </w:rPr>
            </w:pPr>
            <w:r>
              <w:rPr>
                <w:kern w:val="15"/>
                <w:szCs w:val="21"/>
              </w:rPr>
              <w:t>铁锰二元氧化物</w:t>
            </w:r>
          </w:p>
        </w:tc>
        <w:tc>
          <w:tcPr>
            <w:tcW w:w="1728" w:type="dxa"/>
            <w:vAlign w:val="center"/>
          </w:tcPr>
          <w:p>
            <w:pPr>
              <w:snapToGrid/>
              <w:ind w:firstLine="0" w:firstLineChars="0"/>
              <w:jc w:val="center"/>
              <w:rPr>
                <w:kern w:val="15"/>
                <w:szCs w:val="21"/>
              </w:rPr>
            </w:pPr>
            <w:r>
              <w:rPr>
                <w:kern w:val="15"/>
                <w:szCs w:val="21"/>
              </w:rPr>
              <w:t>0.5 mmol/L</w:t>
            </w:r>
          </w:p>
        </w:tc>
        <w:tc>
          <w:tcPr>
            <w:tcW w:w="3347" w:type="dxa"/>
            <w:vAlign w:val="center"/>
          </w:tcPr>
          <w:p>
            <w:pPr>
              <w:snapToGrid/>
              <w:ind w:firstLine="0" w:firstLineChars="0"/>
              <w:jc w:val="center"/>
              <w:rPr>
                <w:kern w:val="15"/>
                <w:szCs w:val="21"/>
              </w:rPr>
            </w:pPr>
            <w:r>
              <w:rPr>
                <w:kern w:val="15"/>
                <w:szCs w:val="21"/>
              </w:rPr>
              <w:t>-</w:t>
            </w:r>
          </w:p>
        </w:tc>
        <w:tc>
          <w:tcPr>
            <w:tcW w:w="1495" w:type="dxa"/>
            <w:vAlign w:val="center"/>
          </w:tcPr>
          <w:p>
            <w:pPr>
              <w:snapToGrid/>
              <w:ind w:firstLine="0" w:firstLineChars="0"/>
              <w:jc w:val="center"/>
              <w:rPr>
                <w:kern w:val="15"/>
                <w:szCs w:val="21"/>
              </w:rPr>
            </w:pPr>
            <w:r>
              <w:rPr>
                <w:kern w:val="15"/>
                <w:szCs w:val="21"/>
              </w:rPr>
              <w:t>1.76 mmol/g</w:t>
            </w:r>
          </w:p>
        </w:tc>
      </w:tr>
    </w:tbl>
    <w:p>
      <w:pPr>
        <w:pStyle w:val="4"/>
      </w:pPr>
      <w:r>
        <w:rPr>
          <w:rFonts w:hint="eastAsia"/>
        </w:rPr>
        <w:t>4</w:t>
      </w:r>
      <w:r>
        <w:t>.2.3 微生物法</w:t>
      </w:r>
    </w:p>
    <w:p>
      <w:pPr>
        <w:snapToGrid/>
        <w:ind w:firstLine="420"/>
      </w:pPr>
      <w:r>
        <w:t>微生物法去除重金属离子的主要途径是微生物吸附作用和微生物对重金属的沉淀作用。</w:t>
      </w:r>
    </w:p>
    <w:p>
      <w:pPr>
        <w:snapToGrid/>
        <w:ind w:firstLine="420"/>
      </w:pPr>
      <w:r>
        <w:t>吸附作用是指利用某些微生物本身的化学成分和结构特性来吸附废水中的重金属离子，通过固液两相分离达到去除废水中重金属离子的目的。微生物吸附重金属的方式主要有物理吸附、离子交换、络合作用和沉淀作用。沉淀作用一般认为是由于微生物对金属离子的异化还原作用或是由于微生物自身新陈代谢的结果。</w:t>
      </w:r>
    </w:p>
    <w:p>
      <w:pPr>
        <w:snapToGrid/>
        <w:ind w:firstLine="420"/>
      </w:pPr>
      <w:r>
        <w:t>生物吸附剂为自然界中丰富的生物资源，如藻类、地衣、真菌和细菌等。根据文献研究，不同微生物吸附剂对废水中锑的去除效果见表4。</w:t>
      </w:r>
    </w:p>
    <w:p>
      <w:pPr>
        <w:widowControl/>
        <w:snapToGrid/>
        <w:ind w:firstLine="0" w:firstLineChars="0"/>
        <w:jc w:val="center"/>
        <w:rPr>
          <w:rFonts w:eastAsia="黑体"/>
          <w:iCs/>
        </w:rPr>
      </w:pPr>
      <w:r>
        <w:rPr>
          <w:rFonts w:eastAsia="黑体"/>
          <w:iCs/>
        </w:rPr>
        <w:t>表4  不同生物吸附剂对废水中锑的去除效果一览表</w:t>
      </w:r>
    </w:p>
    <w:tbl>
      <w:tblPr>
        <w:tblStyle w:val="3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526"/>
        <w:gridCol w:w="1701"/>
        <w:gridCol w:w="1844"/>
        <w:gridCol w:w="34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7" w:hRule="atLeast"/>
          <w:tblHeader/>
          <w:jc w:val="center"/>
        </w:trPr>
        <w:tc>
          <w:tcPr>
            <w:tcW w:w="1526" w:type="dxa"/>
            <w:vAlign w:val="center"/>
          </w:tcPr>
          <w:p>
            <w:pPr>
              <w:widowControl/>
              <w:ind w:firstLine="0" w:firstLineChars="0"/>
              <w:jc w:val="center"/>
              <w:rPr>
                <w:color w:val="000000"/>
                <w:kern w:val="2"/>
                <w:szCs w:val="21"/>
              </w:rPr>
            </w:pPr>
            <w:r>
              <w:rPr>
                <w:color w:val="000000"/>
                <w:kern w:val="2"/>
                <w:szCs w:val="21"/>
              </w:rPr>
              <w:t>微生物名称</w:t>
            </w:r>
          </w:p>
        </w:tc>
        <w:tc>
          <w:tcPr>
            <w:tcW w:w="1701" w:type="dxa"/>
            <w:vAlign w:val="center"/>
          </w:tcPr>
          <w:p>
            <w:pPr>
              <w:widowControl/>
              <w:ind w:firstLine="0" w:firstLineChars="0"/>
              <w:jc w:val="center"/>
              <w:rPr>
                <w:color w:val="000000"/>
                <w:kern w:val="2"/>
                <w:szCs w:val="21"/>
              </w:rPr>
            </w:pPr>
            <w:r>
              <w:rPr>
                <w:color w:val="000000"/>
                <w:kern w:val="2"/>
                <w:szCs w:val="21"/>
              </w:rPr>
              <w:t>锑初始浓度</w:t>
            </w:r>
          </w:p>
        </w:tc>
        <w:tc>
          <w:tcPr>
            <w:tcW w:w="1844" w:type="dxa"/>
            <w:vAlign w:val="center"/>
          </w:tcPr>
          <w:p>
            <w:pPr>
              <w:widowControl/>
              <w:ind w:firstLine="0" w:firstLineChars="0"/>
              <w:jc w:val="center"/>
              <w:rPr>
                <w:color w:val="000000"/>
                <w:kern w:val="2"/>
                <w:szCs w:val="21"/>
              </w:rPr>
            </w:pPr>
            <w:r>
              <w:rPr>
                <w:color w:val="000000"/>
                <w:kern w:val="2"/>
                <w:szCs w:val="21"/>
              </w:rPr>
              <w:t>pH值</w:t>
            </w:r>
          </w:p>
        </w:tc>
        <w:tc>
          <w:tcPr>
            <w:tcW w:w="3451" w:type="dxa"/>
            <w:vAlign w:val="center"/>
          </w:tcPr>
          <w:p>
            <w:pPr>
              <w:widowControl/>
              <w:ind w:firstLine="0" w:firstLineChars="0"/>
              <w:jc w:val="center"/>
              <w:rPr>
                <w:color w:val="000000"/>
                <w:kern w:val="2"/>
                <w:szCs w:val="21"/>
              </w:rPr>
            </w:pPr>
            <w:r>
              <w:rPr>
                <w:color w:val="000000"/>
                <w:kern w:val="2"/>
                <w:szCs w:val="21"/>
              </w:rPr>
              <w:t>锑去除率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7" w:hRule="atLeast"/>
          <w:jc w:val="center"/>
        </w:trPr>
        <w:tc>
          <w:tcPr>
            <w:tcW w:w="1526" w:type="dxa"/>
            <w:vAlign w:val="center"/>
          </w:tcPr>
          <w:p>
            <w:pPr>
              <w:snapToGrid/>
              <w:ind w:firstLine="0" w:firstLineChars="0"/>
              <w:jc w:val="center"/>
              <w:rPr>
                <w:kern w:val="15"/>
                <w:szCs w:val="21"/>
              </w:rPr>
            </w:pPr>
            <w:r>
              <w:rPr>
                <w:kern w:val="15"/>
                <w:szCs w:val="21"/>
              </w:rPr>
              <w:t>蓝藻</w:t>
            </w:r>
          </w:p>
        </w:tc>
        <w:tc>
          <w:tcPr>
            <w:tcW w:w="1701" w:type="dxa"/>
            <w:vAlign w:val="center"/>
          </w:tcPr>
          <w:p>
            <w:pPr>
              <w:snapToGrid/>
              <w:ind w:firstLine="0" w:firstLineChars="0"/>
              <w:jc w:val="center"/>
              <w:rPr>
                <w:kern w:val="15"/>
                <w:szCs w:val="21"/>
              </w:rPr>
            </w:pPr>
            <w:r>
              <w:rPr>
                <w:kern w:val="15"/>
                <w:szCs w:val="21"/>
              </w:rPr>
              <w:t>1 mg/L</w:t>
            </w:r>
          </w:p>
        </w:tc>
        <w:tc>
          <w:tcPr>
            <w:tcW w:w="1844" w:type="dxa"/>
            <w:vAlign w:val="center"/>
          </w:tcPr>
          <w:p>
            <w:pPr>
              <w:snapToGrid/>
              <w:ind w:firstLine="0" w:firstLineChars="0"/>
              <w:jc w:val="center"/>
              <w:rPr>
                <w:kern w:val="15"/>
                <w:szCs w:val="21"/>
              </w:rPr>
            </w:pPr>
            <w:r>
              <w:rPr>
                <w:kern w:val="15"/>
                <w:szCs w:val="21"/>
              </w:rPr>
              <w:t>2~4</w:t>
            </w:r>
          </w:p>
        </w:tc>
        <w:tc>
          <w:tcPr>
            <w:tcW w:w="3451" w:type="dxa"/>
            <w:vAlign w:val="center"/>
          </w:tcPr>
          <w:p>
            <w:pPr>
              <w:snapToGrid/>
              <w:ind w:firstLine="0" w:firstLineChars="0"/>
              <w:jc w:val="center"/>
              <w:rPr>
                <w:kern w:val="15"/>
                <w:szCs w:val="21"/>
              </w:rPr>
            </w:pPr>
            <w:r>
              <w:rPr>
                <w:kern w:val="15"/>
                <w:szCs w:val="21"/>
              </w:rPr>
              <w:t>锑（+3）88%</w:t>
            </w:r>
          </w:p>
          <w:p>
            <w:pPr>
              <w:snapToGrid/>
              <w:ind w:firstLine="0" w:firstLineChars="0"/>
              <w:jc w:val="center"/>
              <w:rPr>
                <w:kern w:val="15"/>
                <w:szCs w:val="21"/>
              </w:rPr>
            </w:pPr>
            <w:r>
              <w:rPr>
                <w:kern w:val="15"/>
                <w:szCs w:val="21"/>
              </w:rPr>
              <w:t>锑（+5）40%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7" w:hRule="atLeast"/>
          <w:jc w:val="center"/>
        </w:trPr>
        <w:tc>
          <w:tcPr>
            <w:tcW w:w="1526" w:type="dxa"/>
            <w:vAlign w:val="center"/>
          </w:tcPr>
          <w:p>
            <w:pPr>
              <w:snapToGrid/>
              <w:ind w:firstLine="0" w:firstLineChars="0"/>
              <w:jc w:val="center"/>
              <w:rPr>
                <w:kern w:val="15"/>
                <w:szCs w:val="21"/>
              </w:rPr>
            </w:pPr>
            <w:r>
              <w:rPr>
                <w:kern w:val="15"/>
                <w:szCs w:val="21"/>
              </w:rPr>
              <w:t>地衣</w:t>
            </w:r>
          </w:p>
        </w:tc>
        <w:tc>
          <w:tcPr>
            <w:tcW w:w="1701" w:type="dxa"/>
            <w:vAlign w:val="center"/>
          </w:tcPr>
          <w:p>
            <w:pPr>
              <w:snapToGrid/>
              <w:ind w:firstLine="0" w:firstLineChars="0"/>
              <w:jc w:val="center"/>
              <w:rPr>
                <w:kern w:val="15"/>
                <w:szCs w:val="21"/>
              </w:rPr>
            </w:pPr>
            <w:r>
              <w:rPr>
                <w:kern w:val="15"/>
                <w:szCs w:val="21"/>
              </w:rPr>
              <w:t>10 mg/L</w:t>
            </w:r>
          </w:p>
        </w:tc>
        <w:tc>
          <w:tcPr>
            <w:tcW w:w="1844" w:type="dxa"/>
            <w:vAlign w:val="center"/>
          </w:tcPr>
          <w:p>
            <w:pPr>
              <w:snapToGrid/>
              <w:ind w:firstLine="0" w:firstLineChars="0"/>
              <w:jc w:val="center"/>
              <w:rPr>
                <w:kern w:val="15"/>
                <w:szCs w:val="21"/>
              </w:rPr>
            </w:pPr>
            <w:r>
              <w:rPr>
                <w:kern w:val="15"/>
                <w:szCs w:val="21"/>
              </w:rPr>
              <w:t>3~6</w:t>
            </w:r>
          </w:p>
        </w:tc>
        <w:tc>
          <w:tcPr>
            <w:tcW w:w="3451" w:type="dxa"/>
            <w:vAlign w:val="center"/>
          </w:tcPr>
          <w:p>
            <w:pPr>
              <w:snapToGrid/>
              <w:ind w:firstLine="0" w:firstLineChars="0"/>
              <w:jc w:val="center"/>
              <w:rPr>
                <w:kern w:val="15"/>
                <w:szCs w:val="21"/>
              </w:rPr>
            </w:pPr>
            <w:r>
              <w:rPr>
                <w:kern w:val="15"/>
                <w:szCs w:val="21"/>
              </w:rPr>
              <w:t>锑（+3）96%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57" w:hRule="atLeast"/>
          <w:jc w:val="center"/>
        </w:trPr>
        <w:tc>
          <w:tcPr>
            <w:tcW w:w="1526" w:type="dxa"/>
            <w:vAlign w:val="center"/>
          </w:tcPr>
          <w:p>
            <w:pPr>
              <w:snapToGrid/>
              <w:ind w:firstLine="0" w:firstLineChars="0"/>
              <w:jc w:val="center"/>
              <w:rPr>
                <w:kern w:val="15"/>
                <w:szCs w:val="21"/>
              </w:rPr>
            </w:pPr>
            <w:r>
              <w:rPr>
                <w:kern w:val="15"/>
                <w:szCs w:val="21"/>
              </w:rPr>
              <w:t>海藻</w:t>
            </w:r>
          </w:p>
        </w:tc>
        <w:tc>
          <w:tcPr>
            <w:tcW w:w="1701" w:type="dxa"/>
            <w:vAlign w:val="center"/>
          </w:tcPr>
          <w:p>
            <w:pPr>
              <w:snapToGrid/>
              <w:ind w:firstLine="0" w:firstLineChars="0"/>
              <w:jc w:val="center"/>
              <w:rPr>
                <w:kern w:val="15"/>
                <w:szCs w:val="21"/>
              </w:rPr>
            </w:pPr>
            <w:r>
              <w:rPr>
                <w:kern w:val="15"/>
                <w:szCs w:val="21"/>
              </w:rPr>
              <w:t>10 mg/L</w:t>
            </w:r>
          </w:p>
        </w:tc>
        <w:tc>
          <w:tcPr>
            <w:tcW w:w="1844" w:type="dxa"/>
            <w:vAlign w:val="center"/>
          </w:tcPr>
          <w:p>
            <w:pPr>
              <w:snapToGrid/>
              <w:ind w:firstLine="0" w:firstLineChars="0"/>
              <w:jc w:val="center"/>
              <w:rPr>
                <w:kern w:val="15"/>
                <w:szCs w:val="21"/>
              </w:rPr>
            </w:pPr>
            <w:r>
              <w:rPr>
                <w:kern w:val="15"/>
                <w:szCs w:val="21"/>
              </w:rPr>
              <w:t>2.6±0.16</w:t>
            </w:r>
          </w:p>
        </w:tc>
        <w:tc>
          <w:tcPr>
            <w:tcW w:w="3451" w:type="dxa"/>
            <w:vAlign w:val="center"/>
          </w:tcPr>
          <w:p>
            <w:pPr>
              <w:snapToGrid/>
              <w:ind w:firstLine="0" w:firstLineChars="0"/>
              <w:jc w:val="center"/>
              <w:rPr>
                <w:kern w:val="15"/>
                <w:szCs w:val="21"/>
              </w:rPr>
            </w:pPr>
            <w:r>
              <w:rPr>
                <w:kern w:val="15"/>
                <w:szCs w:val="21"/>
              </w:rPr>
              <w:t>锑（+3）90%</w:t>
            </w:r>
          </w:p>
        </w:tc>
      </w:tr>
    </w:tbl>
    <w:p>
      <w:pPr>
        <w:snapToGrid/>
        <w:ind w:firstLine="420"/>
      </w:pPr>
      <w:r>
        <w:t>微生物法可以用来处理不同浓度锑污染废水，通常要求污水pH值比较低，以pH</w:t>
      </w:r>
      <w:r>
        <w:rPr>
          <w:rFonts w:hint="eastAsia"/>
        </w:rPr>
        <w:t>在</w:t>
      </w:r>
      <w:r>
        <w:t>2</w:t>
      </w:r>
      <w:r>
        <w:rPr>
          <w:rFonts w:hint="eastAsia"/>
        </w:rPr>
        <w:t>~</w:t>
      </w:r>
      <w:r>
        <w:t>4</w:t>
      </w:r>
      <w:r>
        <w:rPr>
          <w:rFonts w:hint="eastAsia"/>
        </w:rPr>
        <w:t>之间</w:t>
      </w:r>
      <w:r>
        <w:t>为宜。</w:t>
      </w:r>
    </w:p>
    <w:p>
      <w:pPr>
        <w:pStyle w:val="4"/>
      </w:pPr>
      <w:bookmarkStart w:id="26" w:name="_Toc424043853"/>
      <w:r>
        <w:t>4.2.4 离子交换法</w:t>
      </w:r>
      <w:bookmarkEnd w:id="26"/>
    </w:p>
    <w:p>
      <w:pPr>
        <w:snapToGrid/>
        <w:ind w:firstLine="420"/>
      </w:pPr>
      <w:r>
        <w:t>离子交换法是利用重金属离子与离子交换树脂发生离子交换，使废水中重金属浓度降低，从而使废水得以净化的方法。</w:t>
      </w:r>
    </w:p>
    <w:p>
      <w:pPr>
        <w:snapToGrid/>
        <w:ind w:firstLine="420"/>
      </w:pPr>
      <w:r>
        <w:t>利用D401大孔型螯合交换树脂处理锑含量较高的废水，去除率为96%。</w:t>
      </w:r>
    </w:p>
    <w:p>
      <w:pPr>
        <w:snapToGrid/>
        <w:ind w:firstLine="420"/>
      </w:pPr>
      <w:r>
        <w:t>离子交换技术去除废水中的重金属，净化后出水中重金属离子浓度远低于化学沉淀法处理后出水中重金属离子的浓度，通过再生，回收再生溶液，可以实现重金属的回收。离子交换树脂性能对重金属离子的去除有较大影响。离子交换法适用于低浓度重金属废水的处理，处理量大，处理效率高，出水水质好，可回收水和重金属。但离子交换法投资大、占地面积大，存在再生洗脱液的处理问题，易造成二次污染。</w:t>
      </w:r>
    </w:p>
    <w:p>
      <w:pPr>
        <w:snapToGrid/>
        <w:ind w:firstLine="420"/>
      </w:pPr>
    </w:p>
    <w:bookmarkEnd w:id="23"/>
    <w:p>
      <w:pPr>
        <w:pStyle w:val="2"/>
      </w:pPr>
      <w:bookmarkStart w:id="27" w:name="_Toc468455271"/>
      <w:bookmarkStart w:id="28" w:name="_Toc505420228"/>
      <w:r>
        <w:t>5 锑污染物排放的环境影响分析</w:t>
      </w:r>
      <w:bookmarkEnd w:id="27"/>
      <w:bookmarkEnd w:id="28"/>
    </w:p>
    <w:p>
      <w:pPr>
        <w:pStyle w:val="3"/>
      </w:pPr>
      <w:bookmarkStart w:id="29" w:name="_Toc468455272"/>
      <w:bookmarkStart w:id="30" w:name="_Toc505420229"/>
      <w:r>
        <w:t>5.1</w:t>
      </w:r>
      <w:r>
        <w:rPr>
          <w:rFonts w:hint="eastAsia"/>
        </w:rPr>
        <w:t xml:space="preserve"> </w:t>
      </w:r>
      <w:r>
        <w:t>锑的理化性质</w:t>
      </w:r>
      <w:bookmarkEnd w:id="16"/>
      <w:r>
        <w:t>和生物毒性</w:t>
      </w:r>
      <w:bookmarkEnd w:id="29"/>
      <w:bookmarkEnd w:id="30"/>
    </w:p>
    <w:p>
      <w:pPr>
        <w:snapToGrid/>
        <w:ind w:firstLine="420"/>
      </w:pPr>
      <w:r>
        <w:t>锑（Sb）为银白色或深灰色金属粉末，不溶于水、盐酸和碱液，溶于王水及浓硫酸，常态下性质稳定。锑位于元素周期表中第V周期第V族，原子序数为51，与砷同族，锑是两性稀有金属，属于亲铜元素组，主要表现出强烈的亲硫特性，也有一定的亲氧趋势。锑有负三价、零价、正三甲和正五价四个价态存在，正三价和正五价为环境中的主要价态</w:t>
      </w:r>
      <w:r>
        <w:rPr>
          <w:rFonts w:hint="eastAsia"/>
        </w:rPr>
        <w:t>，</w:t>
      </w:r>
      <w:r>
        <w:t>水中正三价和正五价锑以复合离子状态存在。锑的毒性与其存在形态有关，锑化氢和三氧化二锑毒性最大，三氧化二锑被认为是致癌物质。</w:t>
      </w:r>
    </w:p>
    <w:p>
      <w:pPr>
        <w:snapToGrid/>
        <w:ind w:firstLine="420"/>
      </w:pPr>
      <w:r>
        <w:t>锑对人体危害途径主要为吸入和食入，会刺激人的眼、鼻、喉咙及皮肤，持续接触可破坏心脏及肝脏功能，吸入高含量的锑会导致</w:t>
      </w:r>
      <w:r>
        <w:fldChar w:fldCharType="begin"/>
      </w:r>
      <w:r>
        <w:instrText xml:space="preserve">HYPERLINK "http://baike.baidu.com/view/4342568.htm" \t "_blank" </w:instrText>
      </w:r>
      <w:r>
        <w:fldChar w:fldCharType="separate"/>
      </w:r>
      <w:r>
        <w:t>锑中毒</w:t>
      </w:r>
      <w:r>
        <w:fldChar w:fldCharType="end"/>
      </w:r>
      <w:r>
        <w:t>，症状包括呕吐、头痛、呼吸困难，严重者可能死亡。在锑冶炼过程中可引起锑尘肺，对皮肤有明显刺激和致敏作用。</w:t>
      </w:r>
    </w:p>
    <w:p>
      <w:pPr>
        <w:snapToGrid/>
        <w:ind w:firstLine="420"/>
      </w:pPr>
      <w:r>
        <w:t>国际氧化锑工业协会早年运行的试验表明，老鼠若长时间暴露在含锑高浓度空气中，肺部会产生炎症，进而染上肺癌。虽然至今尚未出现因吸入过量锑而染上肺癌的案例，但仍不排除其对人体的潜在危险。2002年9月，</w:t>
      </w:r>
      <w:r>
        <w:fldChar w:fldCharType="begin"/>
      </w:r>
      <w:r>
        <w:instrText xml:space="preserve"> HYPERLINK "http://baike.baidu.com/view/25507.htm" \t "_blank" </w:instrText>
      </w:r>
      <w:r>
        <w:fldChar w:fldCharType="separate"/>
      </w:r>
      <w:r>
        <w:t>世界卫生组织</w:t>
      </w:r>
      <w:r>
        <w:fldChar w:fldCharType="end"/>
      </w:r>
      <w:r>
        <w:t>规定，对水中锑含量和日摄入量应小于0.86 µg/L。日本限定塑料瓶中的锑含量应小于200 ppm，对热灌装用的饮料，则禁用含锑的塑料瓶。欧盟则规定，食品中的锑含量应小于20 ppb，环保级PET纤维中的锑含量不得大于260 ppm。根据《</w:t>
      </w:r>
      <w:r>
        <w:fldChar w:fldCharType="begin"/>
      </w:r>
      <w:r>
        <w:instrText xml:space="preserve"> HYPERLINK "http://baike.baidu.com/view/439326.htm" \t "_blank" </w:instrText>
      </w:r>
      <w:r>
        <w:fldChar w:fldCharType="separate"/>
      </w:r>
      <w:r>
        <w:t>危险化学品安全管理条例</w:t>
      </w:r>
      <w:r>
        <w:fldChar w:fldCharType="end"/>
      </w:r>
      <w:r>
        <w:t>》</w:t>
      </w:r>
      <w:r>
        <w:rPr>
          <w:rFonts w:hint="eastAsia"/>
        </w:rPr>
        <w:t>，</w:t>
      </w:r>
      <w:r>
        <w:t>锑受公安部门管制。</w:t>
      </w:r>
    </w:p>
    <w:p>
      <w:pPr>
        <w:pStyle w:val="3"/>
      </w:pPr>
      <w:bookmarkStart w:id="31" w:name="_Toc445484974"/>
      <w:bookmarkStart w:id="32" w:name="_Toc445393867"/>
      <w:bookmarkStart w:id="33" w:name="_Toc429261697"/>
      <w:bookmarkStart w:id="34" w:name="_Toc468455273"/>
      <w:bookmarkStart w:id="35" w:name="_Toc505420230"/>
      <w:r>
        <w:t>5.2 我国的锑污染事件</w:t>
      </w:r>
      <w:bookmarkEnd w:id="31"/>
      <w:bookmarkEnd w:id="32"/>
      <w:bookmarkEnd w:id="33"/>
      <w:bookmarkEnd w:id="34"/>
      <w:bookmarkEnd w:id="35"/>
    </w:p>
    <w:p>
      <w:pPr>
        <w:snapToGrid/>
        <w:ind w:firstLine="420"/>
      </w:pPr>
      <w:r>
        <w:t>2011年6月28日，广东环保部门发现韶关武江河乐昌段水质锑浓度异常。经查确认，主要污染源是宜章县“长城岭铅锌多金属矿”。经化验，该矿排放的废水，其锑含量超过国家规定标准1000多倍。2015年11月23日晚，甘肃省尾矿库发生尾砂泄漏，造成下游300多公里河段锑浓度超标120倍。</w:t>
      </w:r>
    </w:p>
    <w:p>
      <w:pPr>
        <w:snapToGrid/>
        <w:ind w:firstLine="420"/>
      </w:pPr>
    </w:p>
    <w:p>
      <w:pPr>
        <w:pStyle w:val="2"/>
      </w:pPr>
      <w:bookmarkStart w:id="36" w:name="_Toc429261717"/>
      <w:bookmarkStart w:id="37" w:name="_Toc468455274"/>
      <w:bookmarkStart w:id="38" w:name="_Toc505420231"/>
      <w:bookmarkStart w:id="39" w:name="_Toc429261714"/>
      <w:bookmarkStart w:id="40" w:name="_Toc429261715"/>
      <w:r>
        <w:t>6 标准主要技术内容</w:t>
      </w:r>
      <w:bookmarkEnd w:id="36"/>
      <w:bookmarkEnd w:id="37"/>
      <w:bookmarkEnd w:id="38"/>
    </w:p>
    <w:p>
      <w:pPr>
        <w:pStyle w:val="3"/>
      </w:pPr>
      <w:bookmarkStart w:id="41" w:name="_Toc468455275"/>
      <w:bookmarkStart w:id="42" w:name="_Toc505420232"/>
      <w:bookmarkStart w:id="43" w:name="_Toc417899157"/>
      <w:r>
        <w:t>6.1 标准适用范围</w:t>
      </w:r>
      <w:bookmarkEnd w:id="41"/>
      <w:bookmarkEnd w:id="42"/>
      <w:bookmarkEnd w:id="43"/>
    </w:p>
    <w:p>
      <w:pPr>
        <w:snapToGrid/>
        <w:ind w:firstLine="420"/>
      </w:pPr>
      <w:r>
        <w:t>《纺织染整工业废水中锑污染物排放标准》规定了江苏省辖区内纺织染整工业企业废水中锑污染物排放限值、监测和监控要求，以及标准的实施与监督等相关规定。</w:t>
      </w:r>
    </w:p>
    <w:p>
      <w:pPr>
        <w:snapToGrid/>
        <w:ind w:firstLine="420"/>
      </w:pPr>
      <w:r>
        <w:t>本标准适用于江苏省纺织染整工业企业废水中锑污染物的排放管理，以及纺织染整工业建设项目的环境影响评价、环境保护设施设计、竣工环境保护验收及其</w:t>
      </w:r>
      <w:r>
        <w:rPr>
          <w:rFonts w:hint="eastAsia"/>
        </w:rPr>
        <w:t>日常</w:t>
      </w:r>
      <w:r>
        <w:t>环境</w:t>
      </w:r>
      <w:r>
        <w:rPr>
          <w:rFonts w:hint="eastAsia"/>
        </w:rPr>
        <w:t>监管中</w:t>
      </w:r>
      <w:r>
        <w:t>的水污染物排放管理。</w:t>
      </w:r>
    </w:p>
    <w:p>
      <w:pPr>
        <w:snapToGrid/>
        <w:ind w:firstLine="420"/>
      </w:pPr>
      <w:r>
        <w:t>本标准适用于以天然纤维（如棉、毛、丝、麻等）、化学纤维（如涤纶、锦纶、腈纶、胶粘等）以及天然纤维和化学纤维按不同比例混纺为原料的各类纺织品生产过程中产生的纺织染整废水。</w:t>
      </w:r>
    </w:p>
    <w:p>
      <w:pPr>
        <w:snapToGrid/>
        <w:ind w:firstLine="420"/>
      </w:pPr>
      <w:r>
        <w:t>本标准规定的纺织染整工业废水中锑污染物排放控制要求适用于企业直接或间接向其法定边界外排放锑污染物的行为。</w:t>
      </w:r>
    </w:p>
    <w:p>
      <w:pPr>
        <w:pStyle w:val="3"/>
      </w:pPr>
      <w:bookmarkStart w:id="44" w:name="_Toc468455276"/>
      <w:bookmarkStart w:id="45" w:name="_Toc505420233"/>
      <w:bookmarkStart w:id="46" w:name="_Toc417899158"/>
      <w:r>
        <w:t>6.2 标准结构框架</w:t>
      </w:r>
      <w:bookmarkEnd w:id="44"/>
      <w:bookmarkEnd w:id="45"/>
    </w:p>
    <w:bookmarkEnd w:id="46"/>
    <w:p>
      <w:pPr>
        <w:snapToGrid/>
        <w:ind w:firstLine="420"/>
      </w:pPr>
      <w:r>
        <w:t>本标准的内容包括前言、适用范围、规范性引用文件、术语和定义、污染物排放控制要求、污染物监测要求、实施与监督</w:t>
      </w:r>
      <w:r>
        <w:rPr>
          <w:rFonts w:hint="eastAsia"/>
        </w:rPr>
        <w:t>七</w:t>
      </w:r>
      <w:r>
        <w:t>个部分。</w:t>
      </w:r>
    </w:p>
    <w:p>
      <w:pPr>
        <w:pStyle w:val="3"/>
      </w:pPr>
      <w:bookmarkStart w:id="47" w:name="_Toc468455277"/>
      <w:bookmarkStart w:id="48" w:name="_Toc505420234"/>
      <w:bookmarkStart w:id="49" w:name="_Toc417899159"/>
      <w:r>
        <w:t>6.3 术语和定义</w:t>
      </w:r>
      <w:bookmarkEnd w:id="47"/>
      <w:bookmarkEnd w:id="48"/>
      <w:bookmarkEnd w:id="49"/>
    </w:p>
    <w:p>
      <w:pPr>
        <w:snapToGrid/>
        <w:ind w:firstLine="420"/>
      </w:pPr>
      <w:r>
        <w:t>标准规定了纺织染整工业、直接排放、间接排放、公共污水处理系统、现有企业、新建企业、集中式饮用水水源地</w:t>
      </w:r>
      <w:r>
        <w:rPr>
          <w:rFonts w:hint="eastAsia"/>
        </w:rPr>
        <w:t>准</w:t>
      </w:r>
      <w:r>
        <w:t>保护区、太湖地区、一般地区、排水量、单位产品基准排水量11个术语和定义。</w:t>
      </w:r>
    </w:p>
    <w:p>
      <w:pPr>
        <w:pStyle w:val="3"/>
      </w:pPr>
      <w:bookmarkStart w:id="50" w:name="_Toc417899165"/>
      <w:bookmarkStart w:id="51" w:name="_Toc468455278"/>
      <w:bookmarkStart w:id="52" w:name="_Toc505420235"/>
      <w:r>
        <w:t>6.4 污染物排放限值的</w:t>
      </w:r>
      <w:bookmarkEnd w:id="50"/>
      <w:r>
        <w:t>制定</w:t>
      </w:r>
      <w:bookmarkEnd w:id="51"/>
      <w:bookmarkEnd w:id="52"/>
    </w:p>
    <w:p>
      <w:pPr>
        <w:pStyle w:val="4"/>
      </w:pPr>
      <w:bookmarkStart w:id="53" w:name="_Toc445484995"/>
      <w:bookmarkStart w:id="54" w:name="_Toc429261718"/>
      <w:r>
        <w:t>6.4.1</w:t>
      </w:r>
      <w:bookmarkEnd w:id="53"/>
      <w:bookmarkEnd w:id="54"/>
      <w:r>
        <w:rPr>
          <w:rFonts w:hint="eastAsia"/>
        </w:rPr>
        <w:t xml:space="preserve"> </w:t>
      </w:r>
      <w:r>
        <w:t>毒性与类似重金属类比</w:t>
      </w:r>
    </w:p>
    <w:p>
      <w:pPr>
        <w:snapToGrid/>
        <w:ind w:firstLine="420"/>
      </w:pPr>
      <w:r>
        <w:t>锑为有毒重金属污染物，</w:t>
      </w:r>
      <w:r>
        <w:rPr>
          <w:rFonts w:hint="eastAsia"/>
        </w:rPr>
        <w:t>相关研究显示，</w:t>
      </w:r>
      <w:r>
        <w:t>其毒性较汞、铍、镉毒性弱，但较铅、铬、镍毒性强，其毒性比较情况见表5。</w:t>
      </w:r>
    </w:p>
    <w:p>
      <w:pPr>
        <w:widowControl/>
        <w:snapToGrid/>
        <w:ind w:firstLine="0" w:firstLineChars="0"/>
        <w:jc w:val="center"/>
        <w:rPr>
          <w:rFonts w:eastAsia="黑体"/>
          <w:iCs/>
        </w:rPr>
      </w:pPr>
      <w:r>
        <w:rPr>
          <w:rFonts w:eastAsia="黑体"/>
          <w:iCs/>
        </w:rPr>
        <w:t>表5  几种重金属半数致死量比较表</w:t>
      </w:r>
    </w:p>
    <w:tbl>
      <w:tblPr>
        <w:tblStyle w:val="57"/>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995"/>
        <w:gridCol w:w="2430"/>
        <w:gridCol w:w="2000"/>
        <w:gridCol w:w="1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blHeader/>
        </w:trPr>
        <w:tc>
          <w:tcPr>
            <w:tcW w:w="1995" w:type="dxa"/>
            <w:vAlign w:val="center"/>
          </w:tcPr>
          <w:p>
            <w:pPr>
              <w:widowControl/>
              <w:ind w:firstLine="0" w:firstLineChars="0"/>
              <w:jc w:val="center"/>
              <w:rPr>
                <w:rFonts w:ascii="Calibri" w:hAnsi="Calibri" w:cs="黑体"/>
                <w:color w:val="000000"/>
                <w:kern w:val="2"/>
                <w:sz w:val="21"/>
                <w:szCs w:val="21"/>
              </w:rPr>
            </w:pPr>
            <w:r>
              <w:rPr>
                <w:rFonts w:ascii="Calibri" w:hAnsi="Calibri" w:cs="黑体"/>
                <w:color w:val="000000"/>
                <w:kern w:val="2"/>
                <w:sz w:val="21"/>
                <w:szCs w:val="21"/>
              </w:rPr>
              <w:t>化学品</w:t>
            </w:r>
          </w:p>
        </w:tc>
        <w:tc>
          <w:tcPr>
            <w:tcW w:w="2430" w:type="dxa"/>
            <w:vAlign w:val="center"/>
          </w:tcPr>
          <w:p>
            <w:pPr>
              <w:widowControl/>
              <w:ind w:firstLine="0" w:firstLineChars="0"/>
              <w:jc w:val="center"/>
              <w:rPr>
                <w:rFonts w:ascii="Calibri" w:hAnsi="Calibri" w:cs="黑体"/>
                <w:color w:val="000000"/>
                <w:kern w:val="2"/>
                <w:sz w:val="21"/>
                <w:szCs w:val="21"/>
              </w:rPr>
            </w:pPr>
            <w:r>
              <w:rPr>
                <w:rFonts w:ascii="Calibri" w:hAnsi="Calibri" w:cs="黑体"/>
                <w:color w:val="000000"/>
                <w:kern w:val="2"/>
                <w:sz w:val="21"/>
                <w:szCs w:val="21"/>
              </w:rPr>
              <w:t>半数致死量</w:t>
            </w:r>
          </w:p>
          <w:p>
            <w:pPr>
              <w:widowControl/>
              <w:ind w:firstLine="0" w:firstLineChars="0"/>
              <w:jc w:val="center"/>
              <w:rPr>
                <w:rFonts w:ascii="Calibri" w:hAnsi="Calibri" w:cs="黑体"/>
                <w:color w:val="000000"/>
                <w:kern w:val="2"/>
                <w:sz w:val="21"/>
                <w:szCs w:val="21"/>
              </w:rPr>
            </w:pPr>
            <w:r>
              <w:rPr>
                <w:rFonts w:ascii="Calibri" w:hAnsi="Calibri" w:cs="黑体"/>
                <w:color w:val="000000"/>
                <w:kern w:val="2"/>
                <w:sz w:val="21"/>
                <w:szCs w:val="21"/>
              </w:rPr>
              <w:t>(LD50，mg/kg)</w:t>
            </w:r>
          </w:p>
        </w:tc>
        <w:tc>
          <w:tcPr>
            <w:tcW w:w="2000" w:type="dxa"/>
            <w:vAlign w:val="center"/>
          </w:tcPr>
          <w:p>
            <w:pPr>
              <w:widowControl/>
              <w:ind w:firstLine="0" w:firstLineChars="0"/>
              <w:jc w:val="center"/>
              <w:rPr>
                <w:rFonts w:ascii="Calibri" w:hAnsi="Calibri" w:cs="黑体"/>
                <w:color w:val="000000"/>
                <w:kern w:val="2"/>
                <w:sz w:val="21"/>
                <w:szCs w:val="21"/>
              </w:rPr>
            </w:pPr>
            <w:r>
              <w:rPr>
                <w:rFonts w:ascii="Calibri" w:hAnsi="Calibri" w:cs="黑体"/>
                <w:color w:val="000000"/>
                <w:kern w:val="2"/>
                <w:sz w:val="21"/>
                <w:szCs w:val="21"/>
              </w:rPr>
              <w:t>给药途径</w:t>
            </w:r>
          </w:p>
        </w:tc>
        <w:tc>
          <w:tcPr>
            <w:tcW w:w="1937" w:type="dxa"/>
            <w:vAlign w:val="center"/>
          </w:tcPr>
          <w:p>
            <w:pPr>
              <w:widowControl/>
              <w:ind w:firstLine="0" w:firstLineChars="0"/>
              <w:jc w:val="center"/>
              <w:rPr>
                <w:rFonts w:ascii="Calibri" w:hAnsi="Calibri" w:cs="黑体"/>
                <w:color w:val="000000"/>
                <w:kern w:val="2"/>
                <w:sz w:val="21"/>
                <w:szCs w:val="21"/>
              </w:rPr>
            </w:pPr>
            <w:r>
              <w:rPr>
                <w:rFonts w:ascii="Calibri" w:hAnsi="Calibri" w:cs="黑体"/>
                <w:color w:val="000000"/>
                <w:kern w:val="2"/>
                <w:sz w:val="21"/>
                <w:szCs w:val="21"/>
              </w:rPr>
              <w:t>实验对象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硫酸汞</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25</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57</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硫酸镉</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88</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280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三氯化锑</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525</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五氯化锑</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1115</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硫酸汞</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6.3</w:t>
            </w:r>
          </w:p>
        </w:tc>
        <w:tc>
          <w:tcPr>
            <w:tcW w:w="2000" w:type="dxa"/>
            <w:vAlign w:val="center"/>
          </w:tcPr>
          <w:p>
            <w:pPr>
              <w:ind w:firstLine="0" w:firstLineChars="0"/>
              <w:jc w:val="center"/>
              <w:rPr>
                <w:rFonts w:ascii="Calibri" w:hAnsi="Calibri" w:cs="黑体"/>
                <w:kern w:val="2"/>
                <w:sz w:val="21"/>
                <w:szCs w:val="21"/>
              </w:rPr>
            </w:pPr>
            <w:bookmarkStart w:id="55" w:name="OLE_LINK1"/>
            <w:bookmarkStart w:id="56" w:name="OLE_LINK2"/>
            <w:r>
              <w:rPr>
                <w:rFonts w:ascii="Calibri" w:hAnsi="Calibri" w:cs="黑体"/>
                <w:kern w:val="2"/>
                <w:sz w:val="21"/>
                <w:szCs w:val="21"/>
              </w:rPr>
              <w:t>腹腔注射</w:t>
            </w:r>
            <w:bookmarkEnd w:id="55"/>
            <w:bookmarkEnd w:id="56"/>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硝酸铍</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0.5</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3.16</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静脉注射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三氯化锑</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13</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硝酸铬</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3250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2976</w:t>
            </w:r>
          </w:p>
        </w:tc>
        <w:tc>
          <w:tcPr>
            <w:tcW w:w="2000" w:type="dxa"/>
            <w:vAlign w:val="center"/>
          </w:tcPr>
          <w:p>
            <w:pPr>
              <w:ind w:firstLine="0" w:firstLineChars="0"/>
              <w:jc w:val="center"/>
              <w:rPr>
                <w:rFonts w:ascii="Calibri" w:hAnsi="Calibri" w:cs="黑体"/>
                <w:kern w:val="2"/>
                <w:sz w:val="21"/>
                <w:szCs w:val="21"/>
              </w:rPr>
            </w:pPr>
            <w:bookmarkStart w:id="57" w:name="OLE_LINK3"/>
            <w:bookmarkStart w:id="58" w:name="OLE_LINK4"/>
            <w:r>
              <w:rPr>
                <w:rFonts w:ascii="Calibri" w:hAnsi="Calibri" w:cs="黑体"/>
                <w:kern w:val="2"/>
                <w:sz w:val="21"/>
                <w:szCs w:val="21"/>
              </w:rPr>
              <w:t>经口</w:t>
            </w:r>
            <w:bookmarkEnd w:id="57"/>
            <w:bookmarkEnd w:id="58"/>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110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三氯化铬</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1870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143</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40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肌肉注射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硫酸铅</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氯化铅</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&gt;1947</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&gt;1251</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硫酸镍</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500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20.89</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氯化镍</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681</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369</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20.60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68.1</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静脉注射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硫酸铍</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82</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氯化铍</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86</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92</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硝酸银</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1173</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50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83</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17</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腹腔注射</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restart"/>
            <w:vAlign w:val="center"/>
          </w:tcPr>
          <w:p>
            <w:pPr>
              <w:ind w:firstLine="0" w:firstLineChars="0"/>
              <w:jc w:val="center"/>
              <w:rPr>
                <w:rFonts w:ascii="Calibri" w:hAnsi="Calibri" w:cs="黑体"/>
                <w:kern w:val="2"/>
                <w:sz w:val="21"/>
                <w:szCs w:val="21"/>
              </w:rPr>
            </w:pPr>
            <w:r>
              <w:rPr>
                <w:rFonts w:ascii="Calibri" w:hAnsi="Calibri" w:cs="黑体"/>
                <w:kern w:val="2"/>
                <w:sz w:val="21"/>
                <w:szCs w:val="21"/>
              </w:rPr>
              <w:t>硝酸镉</w:t>
            </w: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300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大鼠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 w:hRule="atLeast"/>
        </w:trPr>
        <w:tc>
          <w:tcPr>
            <w:tcW w:w="1995" w:type="dxa"/>
            <w:vMerge w:val="continue"/>
            <w:vAlign w:val="center"/>
          </w:tcPr>
          <w:p>
            <w:pPr>
              <w:ind w:firstLine="0" w:firstLineChars="0"/>
              <w:jc w:val="center"/>
              <w:rPr>
                <w:rFonts w:ascii="Calibri" w:hAnsi="Calibri" w:cs="黑体"/>
                <w:kern w:val="2"/>
                <w:sz w:val="21"/>
                <w:szCs w:val="21"/>
              </w:rPr>
            </w:pPr>
          </w:p>
        </w:tc>
        <w:tc>
          <w:tcPr>
            <w:tcW w:w="243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100</w:t>
            </w:r>
          </w:p>
        </w:tc>
        <w:tc>
          <w:tcPr>
            <w:tcW w:w="2000"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经口</w:t>
            </w:r>
          </w:p>
        </w:tc>
        <w:tc>
          <w:tcPr>
            <w:tcW w:w="1937" w:type="dxa"/>
            <w:vAlign w:val="center"/>
          </w:tcPr>
          <w:p>
            <w:pPr>
              <w:ind w:firstLine="0" w:firstLineChars="0"/>
              <w:jc w:val="center"/>
              <w:rPr>
                <w:rFonts w:ascii="Calibri" w:hAnsi="Calibri" w:cs="黑体"/>
                <w:kern w:val="2"/>
                <w:sz w:val="21"/>
                <w:szCs w:val="21"/>
              </w:rPr>
            </w:pPr>
            <w:r>
              <w:rPr>
                <w:rFonts w:ascii="Calibri" w:hAnsi="Calibri" w:cs="黑体"/>
                <w:kern w:val="2"/>
                <w:sz w:val="21"/>
                <w:szCs w:val="21"/>
              </w:rPr>
              <w:t>小鼠</w:t>
            </w:r>
          </w:p>
        </w:tc>
      </w:tr>
    </w:tbl>
    <w:p>
      <w:pPr>
        <w:pStyle w:val="4"/>
      </w:pPr>
      <w:r>
        <w:t>6.4.2 相关标准类比</w:t>
      </w:r>
    </w:p>
    <w:p>
      <w:pPr>
        <w:snapToGrid/>
        <w:ind w:firstLine="420"/>
        <w:rPr>
          <w:rFonts w:eastAsia="方正黑体_GBK"/>
          <w:iCs/>
        </w:rPr>
      </w:pPr>
      <w:r>
        <w:t>锑以及汞、铍、镉等重金属的环境质量标准见表6。《生活饮用水卫生标准》与《地表水环境质量标准》中，除了汞指标的浓度限值存在差异外，铍、镉、锑指标的浓度限值是一致的。在《地表水环境质量标准》中，饮用水质量标准中锑、镉的浓度限值均为5 µg/L。</w:t>
      </w:r>
    </w:p>
    <w:p>
      <w:pPr>
        <w:widowControl/>
        <w:snapToGrid/>
        <w:ind w:firstLine="0" w:firstLineChars="0"/>
        <w:jc w:val="center"/>
        <w:rPr>
          <w:rFonts w:eastAsia="黑体"/>
          <w:iCs/>
        </w:rPr>
      </w:pPr>
      <w:r>
        <w:rPr>
          <w:rFonts w:eastAsia="黑体"/>
          <w:iCs/>
        </w:rPr>
        <w:t>表6  几种重金属环境质量标准(mg/L)</w:t>
      </w:r>
    </w:p>
    <w:tbl>
      <w:tblPr>
        <w:tblStyle w:val="5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4"/>
        <w:gridCol w:w="3240"/>
        <w:gridCol w:w="4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blHeader/>
          <w:jc w:val="center"/>
        </w:trPr>
        <w:tc>
          <w:tcPr>
            <w:tcW w:w="1004"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指标</w:t>
            </w:r>
          </w:p>
        </w:tc>
        <w:tc>
          <w:tcPr>
            <w:tcW w:w="3240"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生活饮用水卫生标准</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（GB 5749-2006）</w:t>
            </w:r>
          </w:p>
        </w:tc>
        <w:tc>
          <w:tcPr>
            <w:tcW w:w="4278"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地表水环境质量标准</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（GB 3838-2002）III类标准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00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汞</w:t>
            </w:r>
          </w:p>
        </w:tc>
        <w:tc>
          <w:tcPr>
            <w:tcW w:w="324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0.001</w:t>
            </w:r>
          </w:p>
        </w:tc>
        <w:tc>
          <w:tcPr>
            <w:tcW w:w="4278"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0.0001</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（IV类标准为0.001）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00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铍</w:t>
            </w:r>
          </w:p>
        </w:tc>
        <w:tc>
          <w:tcPr>
            <w:tcW w:w="324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0.002</w:t>
            </w:r>
          </w:p>
        </w:tc>
        <w:tc>
          <w:tcPr>
            <w:tcW w:w="4278"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00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镉</w:t>
            </w:r>
          </w:p>
        </w:tc>
        <w:tc>
          <w:tcPr>
            <w:tcW w:w="324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c>
          <w:tcPr>
            <w:tcW w:w="4278"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00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锑</w:t>
            </w:r>
          </w:p>
        </w:tc>
        <w:tc>
          <w:tcPr>
            <w:tcW w:w="324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c>
          <w:tcPr>
            <w:tcW w:w="4278"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r>
    </w:tbl>
    <w:p>
      <w:pPr>
        <w:snapToGrid/>
        <w:ind w:firstLine="420"/>
      </w:pPr>
      <w:r>
        <w:t>选取《污水综合排放标准》、《城镇污水处理厂污染物排放标准》、《钢铁工业水污染物排放标准》，以及适用于锡、锑、汞采选及冶炼工业企业生产过程中水污染物排放管理的《锡、锑、汞工业污染物排放标准》，对烷基汞、总汞、总铍、总镉、总锑排放标准进行对比分析，见表7。</w:t>
      </w:r>
    </w:p>
    <w:p>
      <w:pPr>
        <w:widowControl/>
        <w:snapToGrid/>
        <w:ind w:firstLine="0" w:firstLineChars="0"/>
        <w:jc w:val="center"/>
        <w:rPr>
          <w:rFonts w:eastAsia="黑体"/>
          <w:iCs/>
        </w:rPr>
      </w:pPr>
      <w:r>
        <w:rPr>
          <w:rFonts w:eastAsia="黑体"/>
          <w:iCs/>
        </w:rPr>
        <w:t>表7  几种重金属污染物排放标准(mg/L)</w:t>
      </w:r>
    </w:p>
    <w:tbl>
      <w:tblPr>
        <w:tblStyle w:val="5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7"/>
        <w:gridCol w:w="1906"/>
        <w:gridCol w:w="1832"/>
        <w:gridCol w:w="1000"/>
        <w:gridCol w:w="944"/>
        <w:gridCol w:w="900"/>
        <w:gridCol w:w="1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tblHeader/>
          <w:jc w:val="center"/>
        </w:trPr>
        <w:tc>
          <w:tcPr>
            <w:tcW w:w="897" w:type="dxa"/>
            <w:vMerge w:val="restart"/>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污染物</w:t>
            </w:r>
          </w:p>
        </w:tc>
        <w:tc>
          <w:tcPr>
            <w:tcW w:w="1906" w:type="dxa"/>
            <w:vMerge w:val="restart"/>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污水综合排放标准</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（GB 8978-1996）</w:t>
            </w:r>
          </w:p>
        </w:tc>
        <w:tc>
          <w:tcPr>
            <w:tcW w:w="1832" w:type="dxa"/>
            <w:vMerge w:val="restart"/>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城镇污水处理厂污染物排放标准</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（GB 18918-2002）</w:t>
            </w:r>
          </w:p>
        </w:tc>
        <w:tc>
          <w:tcPr>
            <w:tcW w:w="1944" w:type="dxa"/>
            <w:gridSpan w:val="2"/>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钢铁工业</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水污染物排放标准（GB 13456-2012）</w:t>
            </w:r>
          </w:p>
        </w:tc>
        <w:tc>
          <w:tcPr>
            <w:tcW w:w="1943" w:type="dxa"/>
            <w:gridSpan w:val="2"/>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锡、锑、汞工业</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污染物排放标准</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（GB 30770-2014）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tblHeader/>
          <w:jc w:val="center"/>
        </w:trPr>
        <w:tc>
          <w:tcPr>
            <w:tcW w:w="897" w:type="dxa"/>
            <w:vMerge w:val="continue"/>
            <w:vAlign w:val="center"/>
          </w:tcPr>
          <w:p>
            <w:pPr>
              <w:widowControl/>
              <w:ind w:firstLine="0" w:firstLineChars="0"/>
              <w:jc w:val="center"/>
              <w:rPr>
                <w:rFonts w:ascii="Calibri" w:hAnsi="Calibri"/>
                <w:color w:val="000000"/>
                <w:kern w:val="2"/>
                <w:sz w:val="21"/>
                <w:szCs w:val="21"/>
              </w:rPr>
            </w:pPr>
          </w:p>
        </w:tc>
        <w:tc>
          <w:tcPr>
            <w:tcW w:w="1906" w:type="dxa"/>
            <w:vMerge w:val="continue"/>
            <w:vAlign w:val="center"/>
          </w:tcPr>
          <w:p>
            <w:pPr>
              <w:widowControl/>
              <w:ind w:firstLine="0" w:firstLineChars="0"/>
              <w:jc w:val="center"/>
              <w:rPr>
                <w:rFonts w:ascii="Calibri" w:hAnsi="Calibri"/>
                <w:color w:val="000000"/>
                <w:kern w:val="2"/>
                <w:sz w:val="21"/>
                <w:szCs w:val="21"/>
              </w:rPr>
            </w:pPr>
          </w:p>
        </w:tc>
        <w:tc>
          <w:tcPr>
            <w:tcW w:w="1832" w:type="dxa"/>
            <w:vMerge w:val="continue"/>
            <w:vAlign w:val="top"/>
          </w:tcPr>
          <w:p>
            <w:pPr>
              <w:widowControl/>
              <w:ind w:firstLine="0" w:firstLineChars="0"/>
              <w:jc w:val="center"/>
              <w:rPr>
                <w:rFonts w:ascii="Calibri" w:hAnsi="Calibri"/>
                <w:color w:val="000000"/>
                <w:kern w:val="2"/>
                <w:sz w:val="21"/>
                <w:szCs w:val="21"/>
              </w:rPr>
            </w:pPr>
          </w:p>
        </w:tc>
        <w:tc>
          <w:tcPr>
            <w:tcW w:w="1000"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浓度</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限值</w:t>
            </w:r>
          </w:p>
        </w:tc>
        <w:tc>
          <w:tcPr>
            <w:tcW w:w="944"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特别排放限值</w:t>
            </w:r>
          </w:p>
        </w:tc>
        <w:tc>
          <w:tcPr>
            <w:tcW w:w="900"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浓度</w:t>
            </w:r>
          </w:p>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限值</w:t>
            </w:r>
          </w:p>
        </w:tc>
        <w:tc>
          <w:tcPr>
            <w:tcW w:w="1043"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特别排放限值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jc w:val="center"/>
        </w:trPr>
        <w:tc>
          <w:tcPr>
            <w:tcW w:w="897"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烷基汞</w:t>
            </w:r>
          </w:p>
        </w:tc>
        <w:tc>
          <w:tcPr>
            <w:tcW w:w="190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10 ng/L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10 ng/L</w:t>
            </w:r>
          </w:p>
        </w:tc>
        <w:tc>
          <w:tcPr>
            <w:tcW w:w="10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4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10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jc w:val="center"/>
        </w:trPr>
        <w:tc>
          <w:tcPr>
            <w:tcW w:w="897"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总汞</w:t>
            </w:r>
          </w:p>
        </w:tc>
        <w:tc>
          <w:tcPr>
            <w:tcW w:w="190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0.05</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0.001</w:t>
            </w:r>
          </w:p>
        </w:tc>
        <w:tc>
          <w:tcPr>
            <w:tcW w:w="10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0.05</w:t>
            </w:r>
          </w:p>
        </w:tc>
        <w:tc>
          <w:tcPr>
            <w:tcW w:w="94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0.01</w:t>
            </w:r>
          </w:p>
        </w:tc>
        <w:tc>
          <w:tcPr>
            <w:tcW w:w="9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c>
          <w:tcPr>
            <w:tcW w:w="10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jc w:val="center"/>
        </w:trPr>
        <w:tc>
          <w:tcPr>
            <w:tcW w:w="897"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总铍</w:t>
            </w:r>
          </w:p>
        </w:tc>
        <w:tc>
          <w:tcPr>
            <w:tcW w:w="190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0.005</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0.002</w:t>
            </w:r>
          </w:p>
        </w:tc>
        <w:tc>
          <w:tcPr>
            <w:tcW w:w="10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4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10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jc w:val="center"/>
        </w:trPr>
        <w:tc>
          <w:tcPr>
            <w:tcW w:w="897"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总镉</w:t>
            </w:r>
          </w:p>
        </w:tc>
        <w:tc>
          <w:tcPr>
            <w:tcW w:w="190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0.1</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0.01</w:t>
            </w:r>
          </w:p>
        </w:tc>
        <w:tc>
          <w:tcPr>
            <w:tcW w:w="10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0.1</w:t>
            </w:r>
          </w:p>
        </w:tc>
        <w:tc>
          <w:tcPr>
            <w:tcW w:w="94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0.01</w:t>
            </w:r>
          </w:p>
        </w:tc>
        <w:tc>
          <w:tcPr>
            <w:tcW w:w="9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0.02</w:t>
            </w:r>
          </w:p>
        </w:tc>
        <w:tc>
          <w:tcPr>
            <w:tcW w:w="10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 w:hRule="atLeast"/>
          <w:jc w:val="center"/>
        </w:trPr>
        <w:tc>
          <w:tcPr>
            <w:tcW w:w="897"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总锑</w:t>
            </w:r>
          </w:p>
        </w:tc>
        <w:tc>
          <w:tcPr>
            <w:tcW w:w="190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10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44"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w:t>
            </w:r>
          </w:p>
        </w:tc>
        <w:tc>
          <w:tcPr>
            <w:tcW w:w="900"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0.3</w:t>
            </w:r>
          </w:p>
        </w:tc>
        <w:tc>
          <w:tcPr>
            <w:tcW w:w="10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0.3</w:t>
            </w:r>
          </w:p>
        </w:tc>
      </w:tr>
    </w:tbl>
    <w:p>
      <w:pPr>
        <w:pStyle w:val="4"/>
      </w:pPr>
      <w:r>
        <w:t xml:space="preserve">6.4.3 </w:t>
      </w:r>
      <w:r>
        <w:rPr>
          <w:rFonts w:hint="eastAsia"/>
        </w:rPr>
        <w:t>达标</w:t>
      </w:r>
      <w:r>
        <w:t>情况分析</w:t>
      </w:r>
    </w:p>
    <w:p>
      <w:pPr>
        <w:snapToGrid/>
        <w:ind w:firstLine="420"/>
      </w:pPr>
      <w:r>
        <w:rPr>
          <w:rFonts w:hint="eastAsia"/>
        </w:rPr>
        <w:t>调研情况显示</w:t>
      </w:r>
      <w:r>
        <w:t>，大部分纺织染整企业均接管至纺织染整废水集中式污水处理厂（设施），其接管和处理后出水锑浓度的情况见表8，浓度分布比例见表9。</w:t>
      </w:r>
    </w:p>
    <w:p>
      <w:pPr>
        <w:widowControl/>
        <w:snapToGrid/>
        <w:ind w:firstLine="0" w:firstLineChars="0"/>
        <w:jc w:val="center"/>
        <w:rPr>
          <w:rFonts w:eastAsia="黑体"/>
          <w:iCs/>
        </w:rPr>
      </w:pPr>
      <w:r>
        <w:rPr>
          <w:rFonts w:eastAsia="黑体"/>
          <w:iCs/>
        </w:rPr>
        <w:t>表8  调研地区纺织染整企业废水接管和处理后锑浓度情况</w:t>
      </w:r>
    </w:p>
    <w:tbl>
      <w:tblPr>
        <w:tblStyle w:val="35"/>
        <w:tblW w:w="8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3"/>
        <w:gridCol w:w="1703"/>
        <w:gridCol w:w="1704"/>
        <w:gridCol w:w="1705"/>
        <w:gridCol w:w="1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trPr>
        <w:tc>
          <w:tcPr>
            <w:tcW w:w="1703" w:type="dxa"/>
            <w:vMerge w:val="restart"/>
            <w:vAlign w:val="center"/>
          </w:tcPr>
          <w:p>
            <w:pPr>
              <w:ind w:firstLine="0" w:firstLineChars="0"/>
              <w:jc w:val="center"/>
            </w:pPr>
            <w:r>
              <w:rPr>
                <w:rFonts w:hint="eastAsia" w:ascii="Calibri" w:hAnsi="Calibri"/>
                <w:kern w:val="2"/>
                <w:sz w:val="21"/>
                <w:szCs w:val="22"/>
              </w:rPr>
              <w:t>调研地区</w:t>
            </w:r>
          </w:p>
        </w:tc>
        <w:tc>
          <w:tcPr>
            <w:tcW w:w="3407" w:type="dxa"/>
            <w:gridSpan w:val="2"/>
            <w:vAlign w:val="center"/>
          </w:tcPr>
          <w:p>
            <w:pPr>
              <w:ind w:firstLine="0" w:firstLineChars="0"/>
              <w:jc w:val="center"/>
            </w:pPr>
            <w:r>
              <w:rPr>
                <w:rFonts w:ascii="Calibri" w:hAnsi="Calibri"/>
                <w:kern w:val="2"/>
                <w:sz w:val="21"/>
                <w:szCs w:val="22"/>
              </w:rPr>
              <w:t>接管锑浓度（µg/L）</w:t>
            </w:r>
          </w:p>
        </w:tc>
        <w:tc>
          <w:tcPr>
            <w:tcW w:w="3412" w:type="dxa"/>
            <w:gridSpan w:val="2"/>
            <w:vAlign w:val="center"/>
          </w:tcPr>
          <w:p>
            <w:pPr>
              <w:ind w:firstLine="0" w:firstLineChars="0"/>
              <w:jc w:val="center"/>
            </w:pPr>
            <w:r>
              <w:rPr>
                <w:rFonts w:ascii="Calibri" w:hAnsi="Calibri"/>
                <w:kern w:val="2"/>
                <w:sz w:val="21"/>
                <w:szCs w:val="22"/>
              </w:rPr>
              <w:t>处理后出水锑浓度（µg/L）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trPr>
        <w:tc>
          <w:tcPr>
            <w:tcW w:w="1703" w:type="dxa"/>
            <w:vMerge w:val="continue"/>
            <w:vAlign w:val="center"/>
          </w:tcPr>
          <w:p>
            <w:pPr>
              <w:ind w:firstLine="0" w:firstLineChars="0"/>
              <w:jc w:val="center"/>
            </w:pPr>
          </w:p>
        </w:tc>
        <w:tc>
          <w:tcPr>
            <w:tcW w:w="1703" w:type="dxa"/>
            <w:vAlign w:val="center"/>
          </w:tcPr>
          <w:p>
            <w:pPr>
              <w:ind w:firstLine="0" w:firstLineChars="0"/>
              <w:jc w:val="center"/>
            </w:pPr>
            <w:r>
              <w:rPr>
                <w:rFonts w:ascii="Calibri" w:hAnsi="Calibri"/>
                <w:kern w:val="2"/>
                <w:sz w:val="21"/>
                <w:szCs w:val="22"/>
              </w:rPr>
              <w:t>最大值</w:t>
            </w:r>
          </w:p>
        </w:tc>
        <w:tc>
          <w:tcPr>
            <w:tcW w:w="1704" w:type="dxa"/>
            <w:vAlign w:val="center"/>
          </w:tcPr>
          <w:p>
            <w:pPr>
              <w:ind w:firstLine="0" w:firstLineChars="0"/>
              <w:jc w:val="center"/>
            </w:pPr>
            <w:r>
              <w:rPr>
                <w:rFonts w:ascii="Calibri" w:hAnsi="Calibri"/>
                <w:kern w:val="2"/>
                <w:sz w:val="21"/>
                <w:szCs w:val="22"/>
              </w:rPr>
              <w:t>最小值</w:t>
            </w:r>
          </w:p>
        </w:tc>
        <w:tc>
          <w:tcPr>
            <w:tcW w:w="1705" w:type="dxa"/>
            <w:vAlign w:val="center"/>
          </w:tcPr>
          <w:p>
            <w:pPr>
              <w:ind w:firstLine="0" w:firstLineChars="0"/>
              <w:jc w:val="center"/>
            </w:pPr>
            <w:r>
              <w:rPr>
                <w:rFonts w:ascii="Calibri" w:hAnsi="Calibri"/>
                <w:kern w:val="2"/>
                <w:sz w:val="21"/>
                <w:szCs w:val="22"/>
              </w:rPr>
              <w:t>最大值</w:t>
            </w:r>
          </w:p>
        </w:tc>
        <w:tc>
          <w:tcPr>
            <w:tcW w:w="1707" w:type="dxa"/>
            <w:vAlign w:val="center"/>
          </w:tcPr>
          <w:p>
            <w:pPr>
              <w:ind w:firstLine="0" w:firstLineChars="0"/>
              <w:jc w:val="center"/>
            </w:pPr>
            <w:r>
              <w:rPr>
                <w:rFonts w:ascii="Calibri" w:hAnsi="Calibri"/>
                <w:kern w:val="2"/>
                <w:sz w:val="21"/>
                <w:szCs w:val="22"/>
              </w:rPr>
              <w:t>最小值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3" w:type="dxa"/>
            <w:vAlign w:val="center"/>
          </w:tcPr>
          <w:p>
            <w:pPr>
              <w:ind w:firstLine="0" w:firstLineChars="0"/>
              <w:jc w:val="center"/>
            </w:pPr>
            <w:r>
              <w:rPr>
                <w:rFonts w:hint="eastAsia" w:ascii="Calibri" w:hAnsi="Calibri"/>
                <w:kern w:val="2"/>
                <w:sz w:val="21"/>
                <w:szCs w:val="22"/>
              </w:rPr>
              <w:t>地区</w:t>
            </w:r>
            <w:r>
              <w:rPr>
                <w:rFonts w:ascii="Calibri" w:hAnsi="Calibri"/>
                <w:kern w:val="2"/>
                <w:sz w:val="21"/>
                <w:szCs w:val="22"/>
              </w:rPr>
              <w:t>6</w:t>
            </w:r>
          </w:p>
        </w:tc>
        <w:tc>
          <w:tcPr>
            <w:tcW w:w="1703" w:type="dxa"/>
            <w:vAlign w:val="center"/>
          </w:tcPr>
          <w:p>
            <w:pPr>
              <w:ind w:firstLine="0" w:firstLineChars="0"/>
              <w:jc w:val="center"/>
            </w:pPr>
            <w:r>
              <w:rPr>
                <w:rFonts w:hint="eastAsia" w:ascii="Calibri" w:hAnsi="Calibri"/>
                <w:kern w:val="2"/>
                <w:sz w:val="21"/>
                <w:szCs w:val="22"/>
              </w:rPr>
              <w:t>1730</w:t>
            </w:r>
          </w:p>
        </w:tc>
        <w:tc>
          <w:tcPr>
            <w:tcW w:w="1704" w:type="dxa"/>
            <w:vAlign w:val="center"/>
          </w:tcPr>
          <w:p>
            <w:pPr>
              <w:ind w:firstLine="0" w:firstLineChars="0"/>
              <w:jc w:val="center"/>
            </w:pPr>
            <w:r>
              <w:rPr>
                <w:rFonts w:hint="eastAsia" w:ascii="Calibri" w:hAnsi="Calibri"/>
                <w:kern w:val="2"/>
                <w:sz w:val="21"/>
                <w:szCs w:val="22"/>
              </w:rPr>
              <w:t>16.5</w:t>
            </w:r>
          </w:p>
        </w:tc>
        <w:tc>
          <w:tcPr>
            <w:tcW w:w="1705" w:type="dxa"/>
            <w:vAlign w:val="center"/>
          </w:tcPr>
          <w:p>
            <w:pPr>
              <w:ind w:firstLine="0" w:firstLineChars="0"/>
              <w:jc w:val="center"/>
            </w:pPr>
            <w:r>
              <w:rPr>
                <w:rFonts w:hint="eastAsia" w:ascii="Calibri" w:hAnsi="Calibri"/>
                <w:kern w:val="2"/>
                <w:sz w:val="21"/>
                <w:szCs w:val="22"/>
              </w:rPr>
              <w:t>440</w:t>
            </w:r>
          </w:p>
        </w:tc>
        <w:tc>
          <w:tcPr>
            <w:tcW w:w="1707" w:type="dxa"/>
            <w:vAlign w:val="center"/>
          </w:tcPr>
          <w:p>
            <w:pPr>
              <w:ind w:firstLine="0" w:firstLineChars="0"/>
              <w:jc w:val="center"/>
            </w:pPr>
            <w:r>
              <w:rPr>
                <w:rFonts w:hint="eastAsia" w:ascii="Calibri" w:hAnsi="Calibri"/>
                <w:kern w:val="2"/>
                <w:sz w:val="21"/>
                <w:szCs w:val="2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3" w:type="dxa"/>
            <w:vAlign w:val="center"/>
          </w:tcPr>
          <w:p>
            <w:pPr>
              <w:ind w:firstLine="0" w:firstLineChars="0"/>
              <w:jc w:val="center"/>
            </w:pPr>
            <w:r>
              <w:rPr>
                <w:rFonts w:hint="eastAsia" w:ascii="Calibri" w:hAnsi="Calibri"/>
                <w:kern w:val="2"/>
                <w:sz w:val="21"/>
                <w:szCs w:val="22"/>
              </w:rPr>
              <w:t>地区</w:t>
            </w:r>
            <w:r>
              <w:rPr>
                <w:rFonts w:ascii="Calibri" w:hAnsi="Calibri"/>
                <w:kern w:val="2"/>
                <w:sz w:val="21"/>
                <w:szCs w:val="22"/>
              </w:rPr>
              <w:t>7</w:t>
            </w:r>
          </w:p>
        </w:tc>
        <w:tc>
          <w:tcPr>
            <w:tcW w:w="1703" w:type="dxa"/>
            <w:vAlign w:val="center"/>
          </w:tcPr>
          <w:p>
            <w:pPr>
              <w:ind w:firstLine="0" w:firstLineChars="0"/>
              <w:jc w:val="center"/>
            </w:pPr>
            <w:r>
              <w:rPr>
                <w:rFonts w:ascii="Calibri" w:hAnsi="Calibri"/>
                <w:kern w:val="2"/>
                <w:sz w:val="21"/>
                <w:szCs w:val="22"/>
              </w:rPr>
              <w:t>840</w:t>
            </w:r>
          </w:p>
        </w:tc>
        <w:tc>
          <w:tcPr>
            <w:tcW w:w="1704" w:type="dxa"/>
            <w:vAlign w:val="center"/>
          </w:tcPr>
          <w:p>
            <w:pPr>
              <w:ind w:firstLine="0" w:firstLineChars="0"/>
              <w:jc w:val="center"/>
            </w:pPr>
            <w:r>
              <w:rPr>
                <w:rFonts w:ascii="Calibri" w:hAnsi="Calibri"/>
                <w:kern w:val="2"/>
                <w:sz w:val="21"/>
                <w:szCs w:val="22"/>
              </w:rPr>
              <w:t>2.6</w:t>
            </w:r>
          </w:p>
        </w:tc>
        <w:tc>
          <w:tcPr>
            <w:tcW w:w="1705" w:type="dxa"/>
            <w:vAlign w:val="center"/>
          </w:tcPr>
          <w:p>
            <w:pPr>
              <w:ind w:firstLine="0" w:firstLineChars="0"/>
              <w:jc w:val="center"/>
            </w:pPr>
            <w:r>
              <w:rPr>
                <w:rFonts w:ascii="Calibri" w:hAnsi="Calibri"/>
                <w:kern w:val="2"/>
                <w:sz w:val="21"/>
                <w:szCs w:val="22"/>
              </w:rPr>
              <w:t>96.2</w:t>
            </w:r>
          </w:p>
        </w:tc>
        <w:tc>
          <w:tcPr>
            <w:tcW w:w="1707" w:type="dxa"/>
            <w:vAlign w:val="center"/>
          </w:tcPr>
          <w:p>
            <w:pPr>
              <w:ind w:firstLine="0" w:firstLineChars="0"/>
              <w:jc w:val="center"/>
            </w:pPr>
            <w:r>
              <w:rPr>
                <w:rFonts w:ascii="Calibri" w:hAnsi="Calibri"/>
                <w:kern w:val="2"/>
                <w:sz w:val="21"/>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3" w:type="dxa"/>
            <w:vAlign w:val="center"/>
          </w:tcPr>
          <w:p>
            <w:pPr>
              <w:ind w:firstLine="0" w:firstLineChars="0"/>
              <w:jc w:val="center"/>
            </w:pPr>
            <w:r>
              <w:rPr>
                <w:rFonts w:hint="eastAsia" w:ascii="Calibri" w:hAnsi="Calibri"/>
                <w:kern w:val="2"/>
                <w:sz w:val="21"/>
                <w:szCs w:val="22"/>
              </w:rPr>
              <w:t>地区8</w:t>
            </w:r>
          </w:p>
        </w:tc>
        <w:tc>
          <w:tcPr>
            <w:tcW w:w="1703" w:type="dxa"/>
            <w:vAlign w:val="center"/>
          </w:tcPr>
          <w:p>
            <w:pPr>
              <w:ind w:firstLine="0" w:firstLineChars="0"/>
              <w:jc w:val="center"/>
            </w:pPr>
            <w:r>
              <w:rPr>
                <w:rFonts w:ascii="Calibri" w:hAnsi="Calibri"/>
                <w:kern w:val="2"/>
                <w:sz w:val="21"/>
                <w:szCs w:val="22"/>
              </w:rPr>
              <w:t>176.1</w:t>
            </w:r>
          </w:p>
        </w:tc>
        <w:tc>
          <w:tcPr>
            <w:tcW w:w="1704" w:type="dxa"/>
            <w:vAlign w:val="center"/>
          </w:tcPr>
          <w:p>
            <w:pPr>
              <w:ind w:firstLine="0" w:firstLineChars="0"/>
              <w:jc w:val="center"/>
            </w:pPr>
            <w:r>
              <w:rPr>
                <w:rFonts w:ascii="Calibri" w:hAnsi="Calibri"/>
                <w:kern w:val="2"/>
                <w:sz w:val="21"/>
                <w:szCs w:val="22"/>
              </w:rPr>
              <w:t>45.2</w:t>
            </w:r>
          </w:p>
        </w:tc>
        <w:tc>
          <w:tcPr>
            <w:tcW w:w="3412" w:type="dxa"/>
            <w:gridSpan w:val="2"/>
            <w:vAlign w:val="center"/>
          </w:tcPr>
          <w:p>
            <w:pPr>
              <w:ind w:firstLine="0" w:firstLineChars="0"/>
              <w:jc w:val="center"/>
            </w:pPr>
            <w:r>
              <w:rPr>
                <w:rFonts w:ascii="Calibri" w:hAnsi="Calibri"/>
                <w:kern w:val="2"/>
                <w:sz w:val="21"/>
                <w:szCs w:val="22"/>
              </w:rPr>
              <w:t>6.3</w:t>
            </w:r>
          </w:p>
        </w:tc>
      </w:tr>
    </w:tbl>
    <w:p>
      <w:pPr>
        <w:widowControl/>
        <w:snapToGrid/>
        <w:ind w:firstLine="0" w:firstLineChars="0"/>
        <w:jc w:val="center"/>
        <w:rPr>
          <w:rFonts w:eastAsia="黑体"/>
          <w:iCs/>
        </w:rPr>
      </w:pPr>
    </w:p>
    <w:p>
      <w:pPr>
        <w:widowControl/>
        <w:snapToGrid/>
        <w:ind w:firstLine="0" w:firstLineChars="0"/>
        <w:jc w:val="center"/>
        <w:rPr>
          <w:rFonts w:eastAsia="黑体"/>
          <w:iCs/>
        </w:rPr>
      </w:pPr>
      <w:r>
        <w:rPr>
          <w:rFonts w:eastAsia="黑体"/>
          <w:iCs/>
        </w:rPr>
        <w:t>表9  调研地区纺织染整企业废水接管和处理后锑浓度分布比例</w:t>
      </w:r>
    </w:p>
    <w:tbl>
      <w:tblPr>
        <w:tblStyle w:val="35"/>
        <w:tblW w:w="8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1549"/>
        <w:gridCol w:w="1549"/>
        <w:gridCol w:w="1551"/>
        <w:gridCol w:w="1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2" w:type="dxa"/>
            <w:vMerge w:val="restart"/>
            <w:vAlign w:val="center"/>
          </w:tcPr>
          <w:p>
            <w:pPr>
              <w:ind w:firstLine="0" w:firstLineChars="0"/>
              <w:jc w:val="center"/>
            </w:pPr>
            <w:r>
              <w:rPr>
                <w:rFonts w:hint="eastAsia" w:ascii="Calibri" w:hAnsi="Calibri"/>
                <w:kern w:val="2"/>
                <w:sz w:val="21"/>
                <w:szCs w:val="22"/>
              </w:rPr>
              <w:t>调研地区</w:t>
            </w:r>
          </w:p>
        </w:tc>
        <w:tc>
          <w:tcPr>
            <w:tcW w:w="3098" w:type="dxa"/>
            <w:gridSpan w:val="2"/>
            <w:vAlign w:val="center"/>
          </w:tcPr>
          <w:p>
            <w:pPr>
              <w:ind w:firstLine="0" w:firstLineChars="0"/>
              <w:jc w:val="center"/>
            </w:pPr>
            <w:r>
              <w:rPr>
                <w:rFonts w:hint="eastAsia" w:ascii="Calibri" w:hAnsi="Calibri"/>
                <w:kern w:val="2"/>
                <w:sz w:val="21"/>
                <w:szCs w:val="22"/>
              </w:rPr>
              <w:t>接管锑浓度分布比例</w:t>
            </w:r>
          </w:p>
        </w:tc>
        <w:tc>
          <w:tcPr>
            <w:tcW w:w="3102" w:type="dxa"/>
            <w:gridSpan w:val="2"/>
            <w:vAlign w:val="center"/>
          </w:tcPr>
          <w:p>
            <w:pPr>
              <w:ind w:firstLine="0" w:firstLineChars="0"/>
              <w:jc w:val="center"/>
            </w:pPr>
            <w:r>
              <w:rPr>
                <w:rFonts w:hint="eastAsia" w:ascii="Calibri" w:hAnsi="Calibri"/>
                <w:kern w:val="2"/>
                <w:sz w:val="21"/>
                <w:szCs w:val="22"/>
              </w:rPr>
              <w:t>处理后出水锑浓度分布比例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2" w:type="dxa"/>
            <w:vMerge w:val="continue"/>
            <w:vAlign w:val="center"/>
          </w:tcPr>
          <w:p>
            <w:pPr>
              <w:ind w:firstLine="0" w:firstLineChars="0"/>
              <w:jc w:val="center"/>
            </w:pP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&lt;50 µg/L</w:t>
            </w: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&lt;80 µg/L</w:t>
            </w:r>
          </w:p>
        </w:tc>
        <w:tc>
          <w:tcPr>
            <w:tcW w:w="1551" w:type="dxa"/>
            <w:vAlign w:val="center"/>
          </w:tcPr>
          <w:p>
            <w:pPr>
              <w:ind w:firstLine="0" w:firstLineChars="0"/>
              <w:jc w:val="center"/>
              <w:rPr>
                <w:rFonts w:ascii="Calibri" w:hAnsi="Calibri"/>
                <w:bCs/>
                <w:kern w:val="2"/>
                <w:sz w:val="24"/>
                <w:szCs w:val="24"/>
              </w:rPr>
            </w:pPr>
            <w:r>
              <w:rPr>
                <w:rFonts w:ascii="Calibri" w:hAnsi="Calibri"/>
                <w:bCs/>
                <w:kern w:val="2"/>
                <w:sz w:val="21"/>
                <w:szCs w:val="22"/>
              </w:rPr>
              <w:t>&lt;50 µg/L</w:t>
            </w:r>
          </w:p>
        </w:tc>
        <w:tc>
          <w:tcPr>
            <w:tcW w:w="1551" w:type="dxa"/>
            <w:vAlign w:val="center"/>
          </w:tcPr>
          <w:p>
            <w:pPr>
              <w:ind w:firstLine="0" w:firstLineChars="0"/>
              <w:jc w:val="center"/>
              <w:rPr>
                <w:rFonts w:ascii="Calibri" w:hAnsi="Calibri"/>
                <w:bCs/>
                <w:kern w:val="2"/>
                <w:sz w:val="24"/>
                <w:szCs w:val="24"/>
              </w:rPr>
            </w:pPr>
            <w:r>
              <w:rPr>
                <w:rFonts w:ascii="Calibri" w:hAnsi="Calibri"/>
                <w:bCs/>
                <w:kern w:val="2"/>
                <w:sz w:val="21"/>
                <w:szCs w:val="22"/>
              </w:rPr>
              <w:t>&lt;80 µg/L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2" w:type="dxa"/>
            <w:vAlign w:val="center"/>
          </w:tcPr>
          <w:p>
            <w:pPr>
              <w:ind w:firstLine="0" w:firstLineChars="0"/>
              <w:jc w:val="center"/>
            </w:pPr>
            <w:r>
              <w:rPr>
                <w:rFonts w:hint="eastAsia" w:ascii="Calibri" w:hAnsi="Calibri"/>
                <w:kern w:val="2"/>
                <w:sz w:val="21"/>
                <w:szCs w:val="22"/>
              </w:rPr>
              <w:t>地区</w:t>
            </w:r>
            <w:r>
              <w:rPr>
                <w:rFonts w:ascii="Calibri" w:hAnsi="Calibri"/>
                <w:kern w:val="2"/>
                <w:sz w:val="21"/>
                <w:szCs w:val="22"/>
              </w:rPr>
              <w:t>6</w:t>
            </w: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12.12%</w:t>
            </w: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18.18%</w:t>
            </w:r>
          </w:p>
        </w:tc>
        <w:tc>
          <w:tcPr>
            <w:tcW w:w="1551" w:type="dxa"/>
            <w:vAlign w:val="center"/>
          </w:tcPr>
          <w:p>
            <w:pPr>
              <w:ind w:firstLine="0" w:firstLineChars="0"/>
              <w:jc w:val="center"/>
              <w:rPr>
                <w:rFonts w:ascii="Calibri" w:hAnsi="Calibri"/>
                <w:bCs/>
                <w:kern w:val="2"/>
                <w:sz w:val="21"/>
                <w:szCs w:val="22"/>
              </w:rPr>
            </w:pPr>
            <w:r>
              <w:rPr>
                <w:rFonts w:hint="eastAsia" w:ascii="Calibri" w:hAnsi="Calibri"/>
                <w:bCs/>
                <w:kern w:val="2"/>
                <w:sz w:val="21"/>
                <w:szCs w:val="22"/>
              </w:rPr>
              <w:t>60.31%</w:t>
            </w:r>
          </w:p>
        </w:tc>
        <w:tc>
          <w:tcPr>
            <w:tcW w:w="1551" w:type="dxa"/>
            <w:vAlign w:val="center"/>
          </w:tcPr>
          <w:p>
            <w:pPr>
              <w:ind w:firstLine="0" w:firstLineChars="0"/>
              <w:jc w:val="center"/>
              <w:rPr>
                <w:rFonts w:ascii="Calibri" w:hAnsi="Calibri"/>
                <w:bCs/>
                <w:kern w:val="2"/>
                <w:sz w:val="21"/>
                <w:szCs w:val="22"/>
              </w:rPr>
            </w:pPr>
            <w:r>
              <w:rPr>
                <w:rFonts w:hint="eastAsia" w:ascii="Calibri" w:hAnsi="Calibri"/>
                <w:bCs/>
                <w:kern w:val="2"/>
                <w:sz w:val="21"/>
                <w:szCs w:val="22"/>
              </w:rPr>
              <w:t>73.28%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2" w:type="dxa"/>
            <w:vAlign w:val="center"/>
          </w:tcPr>
          <w:p>
            <w:pPr>
              <w:ind w:firstLine="0" w:firstLineChars="0"/>
              <w:jc w:val="center"/>
            </w:pPr>
            <w:r>
              <w:rPr>
                <w:rFonts w:hint="eastAsia" w:ascii="Calibri" w:hAnsi="Calibri"/>
                <w:kern w:val="2"/>
                <w:sz w:val="21"/>
                <w:szCs w:val="22"/>
              </w:rPr>
              <w:t>地区</w:t>
            </w:r>
            <w:r>
              <w:rPr>
                <w:rFonts w:ascii="Calibri" w:hAnsi="Calibri"/>
                <w:kern w:val="2"/>
                <w:sz w:val="21"/>
                <w:szCs w:val="22"/>
              </w:rPr>
              <w:t>7</w:t>
            </w: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12.61%</w:t>
            </w:r>
          </w:p>
        </w:tc>
        <w:tc>
          <w:tcPr>
            <w:tcW w:w="1549" w:type="dxa"/>
            <w:vAlign w:val="center"/>
          </w:tcPr>
          <w:p>
            <w:pPr>
              <w:ind w:firstLine="0" w:firstLineChars="0"/>
              <w:jc w:val="center"/>
              <w:rPr>
                <w:rFonts w:ascii="Calibri" w:hAnsi="Calibri"/>
                <w:bCs/>
                <w:kern w:val="2"/>
                <w:sz w:val="24"/>
                <w:szCs w:val="24"/>
              </w:rPr>
            </w:pPr>
            <w:r>
              <w:rPr>
                <w:rFonts w:ascii="Calibri" w:hAnsi="Calibri"/>
                <w:bCs/>
                <w:kern w:val="2"/>
                <w:sz w:val="21"/>
                <w:szCs w:val="22"/>
              </w:rPr>
              <w:t>18.92%</w:t>
            </w:r>
          </w:p>
        </w:tc>
        <w:tc>
          <w:tcPr>
            <w:tcW w:w="1551" w:type="dxa"/>
            <w:vAlign w:val="center"/>
          </w:tcPr>
          <w:p>
            <w:pPr>
              <w:ind w:firstLine="0" w:firstLineChars="0"/>
              <w:jc w:val="center"/>
              <w:rPr>
                <w:rFonts w:ascii="Calibri" w:hAnsi="Calibri"/>
                <w:bCs/>
                <w:kern w:val="2"/>
                <w:sz w:val="24"/>
                <w:szCs w:val="24"/>
              </w:rPr>
            </w:pPr>
            <w:r>
              <w:rPr>
                <w:rFonts w:ascii="Calibri" w:hAnsi="Calibri"/>
                <w:bCs/>
                <w:kern w:val="2"/>
                <w:sz w:val="21"/>
                <w:szCs w:val="22"/>
              </w:rPr>
              <w:t>84.14%</w:t>
            </w:r>
          </w:p>
        </w:tc>
        <w:tc>
          <w:tcPr>
            <w:tcW w:w="1551" w:type="dxa"/>
            <w:vAlign w:val="center"/>
          </w:tcPr>
          <w:p>
            <w:pPr>
              <w:ind w:firstLine="0" w:firstLineChars="0"/>
              <w:jc w:val="center"/>
              <w:rPr>
                <w:rFonts w:ascii="Calibri" w:hAnsi="Calibri"/>
                <w:bCs/>
                <w:kern w:val="2"/>
                <w:sz w:val="24"/>
                <w:szCs w:val="24"/>
              </w:rPr>
            </w:pPr>
            <w:r>
              <w:rPr>
                <w:rFonts w:ascii="Calibri" w:hAnsi="Calibri"/>
                <w:bCs/>
                <w:kern w:val="2"/>
                <w:sz w:val="21"/>
                <w:szCs w:val="22"/>
              </w:rPr>
              <w:t>98.32%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2" w:type="dxa"/>
            <w:vAlign w:val="center"/>
          </w:tcPr>
          <w:p>
            <w:pPr>
              <w:ind w:firstLine="0" w:firstLineChars="0"/>
              <w:jc w:val="center"/>
            </w:pPr>
            <w:r>
              <w:rPr>
                <w:rFonts w:hint="eastAsia" w:ascii="Calibri" w:hAnsi="Calibri"/>
                <w:kern w:val="2"/>
                <w:sz w:val="21"/>
                <w:szCs w:val="22"/>
              </w:rPr>
              <w:t>地区8</w:t>
            </w:r>
          </w:p>
        </w:tc>
        <w:tc>
          <w:tcPr>
            <w:tcW w:w="1549" w:type="dxa"/>
            <w:vAlign w:val="center"/>
          </w:tcPr>
          <w:p>
            <w:pPr>
              <w:ind w:firstLine="0" w:firstLineChars="0"/>
              <w:jc w:val="center"/>
            </w:pPr>
            <w:r>
              <w:rPr>
                <w:rFonts w:ascii="Calibri" w:hAnsi="Calibri"/>
                <w:kern w:val="2"/>
                <w:sz w:val="21"/>
                <w:szCs w:val="22"/>
              </w:rPr>
              <w:t>20</w:t>
            </w:r>
            <w:r>
              <w:rPr>
                <w:rFonts w:ascii="Calibri" w:hAnsi="Calibri"/>
                <w:bCs/>
                <w:kern w:val="2"/>
                <w:sz w:val="21"/>
                <w:szCs w:val="22"/>
              </w:rPr>
              <w:t>%</w:t>
            </w:r>
          </w:p>
        </w:tc>
        <w:tc>
          <w:tcPr>
            <w:tcW w:w="1549" w:type="dxa"/>
            <w:vAlign w:val="center"/>
          </w:tcPr>
          <w:p>
            <w:pPr>
              <w:ind w:firstLine="0" w:firstLineChars="0"/>
              <w:jc w:val="center"/>
            </w:pPr>
            <w:r>
              <w:rPr>
                <w:rFonts w:ascii="Calibri" w:hAnsi="Calibri"/>
                <w:kern w:val="2"/>
                <w:sz w:val="21"/>
                <w:szCs w:val="22"/>
              </w:rPr>
              <w:t>40</w:t>
            </w:r>
            <w:r>
              <w:rPr>
                <w:rFonts w:ascii="Calibri" w:hAnsi="Calibri"/>
                <w:bCs/>
                <w:kern w:val="2"/>
                <w:sz w:val="21"/>
                <w:szCs w:val="22"/>
              </w:rPr>
              <w:t>%</w:t>
            </w:r>
          </w:p>
        </w:tc>
        <w:tc>
          <w:tcPr>
            <w:tcW w:w="1551" w:type="dxa"/>
            <w:vAlign w:val="center"/>
          </w:tcPr>
          <w:p>
            <w:pPr>
              <w:ind w:firstLine="0" w:firstLineChars="0"/>
              <w:jc w:val="center"/>
            </w:pPr>
            <w:r>
              <w:rPr>
                <w:rFonts w:ascii="Calibri" w:hAnsi="Calibri"/>
                <w:kern w:val="2"/>
                <w:sz w:val="21"/>
                <w:szCs w:val="22"/>
              </w:rPr>
              <w:t>100</w:t>
            </w:r>
            <w:r>
              <w:rPr>
                <w:rFonts w:ascii="Calibri" w:hAnsi="Calibri"/>
                <w:bCs/>
                <w:kern w:val="2"/>
                <w:sz w:val="21"/>
                <w:szCs w:val="22"/>
              </w:rPr>
              <w:t>%</w:t>
            </w:r>
          </w:p>
        </w:tc>
        <w:tc>
          <w:tcPr>
            <w:tcW w:w="1551" w:type="dxa"/>
            <w:vAlign w:val="center"/>
          </w:tcPr>
          <w:p>
            <w:pPr>
              <w:ind w:firstLine="0" w:firstLineChars="0"/>
              <w:jc w:val="center"/>
            </w:pPr>
            <w:r>
              <w:rPr>
                <w:rFonts w:ascii="Calibri" w:hAnsi="Calibri"/>
                <w:kern w:val="2"/>
                <w:sz w:val="21"/>
                <w:szCs w:val="22"/>
              </w:rPr>
              <w:t>100</w:t>
            </w:r>
            <w:r>
              <w:rPr>
                <w:rFonts w:ascii="Calibri" w:hAnsi="Calibri"/>
                <w:bCs/>
                <w:kern w:val="2"/>
                <w:sz w:val="21"/>
                <w:szCs w:val="22"/>
              </w:rPr>
              <w:t>%</w:t>
            </w:r>
          </w:p>
        </w:tc>
      </w:tr>
    </w:tbl>
    <w:p>
      <w:pPr>
        <w:snapToGrid/>
        <w:ind w:firstLine="420"/>
      </w:pPr>
      <w:r>
        <w:t>从目前的纺织染整锑污染治理情况来看，大部分接管至纺织染整废水集中式污水处理（厂）设施的企业对其间接排放锑浓度没有有效控制。集中式污水处理（厂）设施处理后的出水锑浓度</w:t>
      </w:r>
      <w:r>
        <w:rPr>
          <w:rFonts w:hint="eastAsia"/>
        </w:rPr>
        <w:t>70%以上</w:t>
      </w:r>
      <w:r>
        <w:t>可以达到80 µg/L以下，</w:t>
      </w:r>
      <w:r>
        <w:rPr>
          <w:rFonts w:hint="eastAsia"/>
        </w:rPr>
        <w:t>60%以上可</w:t>
      </w:r>
      <w:r>
        <w:t>处理至50 µg/L</w:t>
      </w:r>
      <w:r>
        <w:rPr>
          <w:rFonts w:hint="eastAsia"/>
        </w:rPr>
        <w:t>以下</w:t>
      </w:r>
      <w:r>
        <w:t>。</w:t>
      </w:r>
    </w:p>
    <w:p>
      <w:pPr>
        <w:pStyle w:val="4"/>
      </w:pPr>
      <w:r>
        <w:t>6.4.4</w:t>
      </w:r>
      <w:r>
        <w:rPr>
          <w:rFonts w:hint="eastAsia"/>
        </w:rPr>
        <w:t xml:space="preserve"> </w:t>
      </w:r>
      <w:r>
        <w:t>排放限值的确定</w:t>
      </w:r>
    </w:p>
    <w:p>
      <w:pPr>
        <w:snapToGrid/>
        <w:ind w:firstLine="420"/>
      </w:pPr>
      <w:r>
        <w:t>由表6可知，在《生活饮用水卫生标准》与《地表水环境质量标准》中锑和镉的浓度限值均为5 µg/L，因此锑和镉在水质保护要求上接近。但由表7可知，锑与镉相比，毒性较弱。表7可见，在《污水综合排放标准》、《城镇污水处理厂污染物排放标准》、《钢铁工业水污染物排放标准》、《锡、锑、汞工业污染物排放标准》四个标准中，与锑类似的镉污染物排放标准限值为10-100 µg/L。考虑到锑的毒性相对较低，结合课题组对苏州、南通、盐城等地纺织染整企业锑污染物排放情况的调研结果分析，确定江苏省纺织染整工业现有企业和新建企业废水中锑污染物的排放限值。</w:t>
      </w:r>
    </w:p>
    <w:p>
      <w:pPr>
        <w:snapToGrid/>
        <w:ind w:firstLine="420"/>
      </w:pPr>
      <w:r>
        <w:rPr>
          <w:rFonts w:hint="eastAsia"/>
        </w:rPr>
        <w:t>现有企业自20</w:t>
      </w:r>
      <w:r>
        <w:t>19</w:t>
      </w:r>
      <w:r>
        <w:rPr>
          <w:rFonts w:hint="eastAsia"/>
        </w:rPr>
        <w:t>年1月1日起、新建企业自本标准实施</w:t>
      </w:r>
      <w:r>
        <w:t>之日起</w:t>
      </w:r>
      <w:r>
        <w:rPr>
          <w:rFonts w:hint="eastAsia"/>
        </w:rPr>
        <w:t>，执行表</w:t>
      </w:r>
      <w:r>
        <w:t>10</w:t>
      </w:r>
      <w:r>
        <w:rPr>
          <w:rFonts w:hint="eastAsia"/>
        </w:rPr>
        <w:t>规定的总锑排放限值。</w:t>
      </w:r>
    </w:p>
    <w:p>
      <w:pPr>
        <w:spacing w:before="217" w:beforeLines="50" w:after="217" w:afterLines="50"/>
        <w:ind w:firstLine="420"/>
        <w:jc w:val="center"/>
        <w:rPr>
          <w:sz w:val="18"/>
        </w:rPr>
      </w:pPr>
      <w:r>
        <w:rPr>
          <w:rFonts w:ascii="黑体" w:hAnsi="黑体" w:eastAsia="黑体"/>
        </w:rPr>
        <w:t xml:space="preserve">表10  </w:t>
      </w:r>
      <w:r>
        <w:rPr>
          <w:rFonts w:hint="eastAsia" w:ascii="黑体" w:hAnsi="黑体" w:eastAsia="黑体"/>
        </w:rPr>
        <w:t>纺织染整</w:t>
      </w:r>
      <w:r>
        <w:rPr>
          <w:rFonts w:ascii="黑体" w:hAnsi="黑体" w:eastAsia="黑体"/>
        </w:rPr>
        <w:t>企业</w:t>
      </w:r>
      <w:r>
        <w:rPr>
          <w:rFonts w:hint="eastAsia" w:ascii="黑体" w:hAnsi="黑体" w:eastAsia="黑体"/>
        </w:rPr>
        <w:t>废水中总</w:t>
      </w:r>
      <w:r>
        <w:rPr>
          <w:rFonts w:ascii="黑体" w:hAnsi="黑体" w:eastAsia="黑体"/>
        </w:rPr>
        <w:t>锑排放限值</w:t>
      </w:r>
    </w:p>
    <w:tbl>
      <w:tblPr>
        <w:tblStyle w:val="3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2187"/>
        <w:gridCol w:w="1969"/>
        <w:gridCol w:w="2183"/>
        <w:gridCol w:w="2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2187" w:type="dxa"/>
            <w:vMerge w:val="restart"/>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地区</w:t>
            </w:r>
          </w:p>
        </w:tc>
        <w:tc>
          <w:tcPr>
            <w:tcW w:w="4152" w:type="dxa"/>
            <w:gridSpan w:val="2"/>
            <w:vAlign w:val="center"/>
          </w:tcPr>
          <w:p>
            <w:pPr>
              <w:pStyle w:val="10"/>
              <w:tabs>
                <w:tab w:val="left" w:pos="642"/>
              </w:tabs>
              <w:kinsoku w:val="0"/>
              <w:overflowPunct w:val="0"/>
              <w:ind w:left="0" w:firstLine="360"/>
              <w:jc w:val="center"/>
              <w:rPr>
                <w:rFonts w:ascii="Times New Roman"/>
                <w:kern w:val="2"/>
                <w:sz w:val="18"/>
                <w:szCs w:val="22"/>
              </w:rPr>
            </w:pPr>
            <w:r>
              <w:rPr>
                <w:rFonts w:ascii="Times New Roman"/>
                <w:kern w:val="2"/>
                <w:sz w:val="18"/>
                <w:szCs w:val="22"/>
              </w:rPr>
              <w:t>限值</w:t>
            </w:r>
            <w:r>
              <w:rPr>
                <w:rFonts w:hint="eastAsia" w:ascii="Times New Roman"/>
                <w:sz w:val="18"/>
              </w:rPr>
              <w:t>（mg/L）</w:t>
            </w:r>
          </w:p>
        </w:tc>
        <w:tc>
          <w:tcPr>
            <w:tcW w:w="2183" w:type="dxa"/>
            <w:vMerge w:val="restart"/>
            <w:vAlign w:val="center"/>
          </w:tcPr>
          <w:p>
            <w:pPr>
              <w:pStyle w:val="10"/>
              <w:tabs>
                <w:tab w:val="left" w:pos="642"/>
              </w:tabs>
              <w:kinsoku w:val="0"/>
              <w:overflowPunct w:val="0"/>
              <w:ind w:left="0" w:firstLine="360"/>
              <w:jc w:val="center"/>
              <w:rPr>
                <w:rFonts w:ascii="Times New Roman"/>
                <w:kern w:val="2"/>
                <w:sz w:val="18"/>
                <w:szCs w:val="22"/>
              </w:rPr>
            </w:pPr>
            <w:r>
              <w:rPr>
                <w:rFonts w:ascii="Times New Roman"/>
                <w:kern w:val="2"/>
                <w:sz w:val="18"/>
                <w:szCs w:val="22"/>
              </w:rPr>
              <w:t>污染物排放监</w:t>
            </w:r>
            <w:r>
              <w:rPr>
                <w:rFonts w:hint="eastAsia" w:ascii="Times New Roman"/>
                <w:kern w:val="2"/>
                <w:sz w:val="18"/>
                <w:szCs w:val="22"/>
              </w:rPr>
              <w:t>测</w:t>
            </w:r>
            <w:r>
              <w:rPr>
                <w:rFonts w:ascii="Times New Roman"/>
                <w:kern w:val="2"/>
                <w:sz w:val="18"/>
                <w:szCs w:val="22"/>
              </w:rPr>
              <w:t>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2187" w:type="dxa"/>
            <w:vMerge w:val="continue"/>
            <w:vAlign w:val="center"/>
          </w:tcPr>
          <w:p>
            <w:pPr>
              <w:pStyle w:val="10"/>
              <w:tabs>
                <w:tab w:val="left" w:pos="642"/>
              </w:tabs>
              <w:kinsoku w:val="0"/>
              <w:overflowPunct w:val="0"/>
              <w:ind w:left="0" w:firstLine="360"/>
              <w:jc w:val="center"/>
              <w:rPr>
                <w:rFonts w:ascii="Times New Roman"/>
                <w:kern w:val="2"/>
                <w:sz w:val="18"/>
                <w:szCs w:val="22"/>
              </w:rPr>
            </w:pPr>
          </w:p>
        </w:tc>
        <w:tc>
          <w:tcPr>
            <w:tcW w:w="1969" w:type="dxa"/>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直接排放</w:t>
            </w:r>
          </w:p>
        </w:tc>
        <w:tc>
          <w:tcPr>
            <w:tcW w:w="2183" w:type="dxa"/>
            <w:vAlign w:val="top"/>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间接排放</w:t>
            </w:r>
          </w:p>
        </w:tc>
        <w:tc>
          <w:tcPr>
            <w:tcW w:w="2183" w:type="dxa"/>
            <w:vMerge w:val="continue"/>
            <w:vAlign w:val="center"/>
          </w:tcPr>
          <w:p>
            <w:pPr>
              <w:pStyle w:val="10"/>
              <w:tabs>
                <w:tab w:val="left" w:pos="642"/>
              </w:tabs>
              <w:kinsoku w:val="0"/>
              <w:overflowPunct w:val="0"/>
              <w:ind w:left="0" w:firstLine="360"/>
              <w:jc w:val="center"/>
              <w:rPr>
                <w:rFonts w:ascii="Times New Roman"/>
                <w:kern w:val="2"/>
                <w:sz w:val="1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2187" w:type="dxa"/>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一般地区</w:t>
            </w:r>
          </w:p>
        </w:tc>
        <w:tc>
          <w:tcPr>
            <w:tcW w:w="1969" w:type="dxa"/>
            <w:vAlign w:val="center"/>
          </w:tcPr>
          <w:p>
            <w:pPr>
              <w:pStyle w:val="10"/>
              <w:tabs>
                <w:tab w:val="left" w:pos="642"/>
              </w:tabs>
              <w:kinsoku w:val="0"/>
              <w:overflowPunct w:val="0"/>
              <w:ind w:left="0" w:firstLine="360"/>
              <w:jc w:val="center"/>
              <w:rPr>
                <w:rFonts w:ascii="Times New Roman"/>
                <w:kern w:val="2"/>
                <w:sz w:val="18"/>
                <w:szCs w:val="22"/>
              </w:rPr>
            </w:pPr>
            <w:r>
              <w:rPr>
                <w:rFonts w:ascii="Times New Roman"/>
                <w:kern w:val="2"/>
                <w:sz w:val="18"/>
                <w:szCs w:val="22"/>
              </w:rPr>
              <w:t>0.</w:t>
            </w:r>
            <w:r>
              <w:rPr>
                <w:rFonts w:hint="eastAsia" w:ascii="Times New Roman"/>
                <w:kern w:val="2"/>
                <w:sz w:val="18"/>
                <w:szCs w:val="22"/>
              </w:rPr>
              <w:t>10</w:t>
            </w:r>
          </w:p>
        </w:tc>
        <w:tc>
          <w:tcPr>
            <w:tcW w:w="2183" w:type="dxa"/>
            <w:vAlign w:val="top"/>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0.10</w:t>
            </w:r>
          </w:p>
        </w:tc>
        <w:tc>
          <w:tcPr>
            <w:tcW w:w="2183" w:type="dxa"/>
            <w:vMerge w:val="restart"/>
            <w:vAlign w:val="center"/>
          </w:tcPr>
          <w:p>
            <w:pPr>
              <w:pStyle w:val="10"/>
              <w:tabs>
                <w:tab w:val="left" w:pos="642"/>
              </w:tabs>
              <w:kinsoku w:val="0"/>
              <w:overflowPunct w:val="0"/>
              <w:ind w:left="0" w:firstLine="360"/>
              <w:jc w:val="center"/>
              <w:rPr>
                <w:rFonts w:ascii="Times New Roman"/>
                <w:kern w:val="2"/>
                <w:sz w:val="18"/>
                <w:szCs w:val="22"/>
              </w:rPr>
            </w:pPr>
            <w:r>
              <w:rPr>
                <w:rFonts w:ascii="Times New Roman"/>
                <w:kern w:val="2"/>
                <w:sz w:val="18"/>
                <w:szCs w:val="22"/>
              </w:rPr>
              <w:t>企业废水总排口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2187" w:type="dxa"/>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太湖地区</w:t>
            </w:r>
          </w:p>
        </w:tc>
        <w:tc>
          <w:tcPr>
            <w:tcW w:w="1969" w:type="dxa"/>
            <w:vAlign w:val="center"/>
          </w:tcPr>
          <w:p>
            <w:pPr>
              <w:pStyle w:val="10"/>
              <w:tabs>
                <w:tab w:val="left" w:pos="642"/>
              </w:tabs>
              <w:kinsoku w:val="0"/>
              <w:overflowPunct w:val="0"/>
              <w:ind w:left="0" w:firstLine="360"/>
              <w:jc w:val="center"/>
              <w:rPr>
                <w:rFonts w:ascii="Times New Roman"/>
                <w:kern w:val="2"/>
                <w:sz w:val="18"/>
                <w:szCs w:val="22"/>
              </w:rPr>
            </w:pPr>
            <w:r>
              <w:rPr>
                <w:rFonts w:ascii="Times New Roman"/>
                <w:kern w:val="2"/>
                <w:sz w:val="18"/>
                <w:szCs w:val="22"/>
              </w:rPr>
              <w:t>0.</w:t>
            </w:r>
            <w:r>
              <w:rPr>
                <w:rFonts w:hint="eastAsia" w:ascii="Times New Roman"/>
                <w:kern w:val="2"/>
                <w:sz w:val="18"/>
                <w:szCs w:val="22"/>
              </w:rPr>
              <w:t>08</w:t>
            </w:r>
          </w:p>
        </w:tc>
        <w:tc>
          <w:tcPr>
            <w:tcW w:w="2183" w:type="dxa"/>
            <w:vAlign w:val="top"/>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0.10</w:t>
            </w:r>
            <w:r>
              <w:rPr>
                <w:rFonts w:ascii="Times New Roman"/>
                <w:kern w:val="2"/>
                <w:sz w:val="18"/>
                <w:szCs w:val="22"/>
                <w:vertAlign w:val="superscript"/>
              </w:rPr>
              <w:t>a</w:t>
            </w:r>
            <w:r>
              <w:rPr>
                <w:rFonts w:hint="eastAsia" w:ascii="Times New Roman"/>
                <w:kern w:val="2"/>
                <w:sz w:val="18"/>
                <w:szCs w:val="22"/>
              </w:rPr>
              <w:t>/</w:t>
            </w:r>
            <w:r>
              <w:rPr>
                <w:rFonts w:ascii="Times New Roman"/>
                <w:kern w:val="2"/>
                <w:sz w:val="18"/>
                <w:szCs w:val="22"/>
              </w:rPr>
              <w:t>0.0</w:t>
            </w:r>
            <w:r>
              <w:rPr>
                <w:rFonts w:hint="eastAsia" w:ascii="Times New Roman"/>
                <w:kern w:val="2"/>
                <w:sz w:val="18"/>
                <w:szCs w:val="22"/>
              </w:rPr>
              <w:t>8</w:t>
            </w:r>
            <w:r>
              <w:rPr>
                <w:rFonts w:hint="eastAsia" w:ascii="Times New Roman"/>
                <w:kern w:val="2"/>
                <w:sz w:val="18"/>
                <w:szCs w:val="22"/>
                <w:vertAlign w:val="superscript"/>
              </w:rPr>
              <w:t>b</w:t>
            </w:r>
          </w:p>
        </w:tc>
        <w:tc>
          <w:tcPr>
            <w:tcW w:w="2183" w:type="dxa"/>
            <w:vMerge w:val="continue"/>
            <w:vAlign w:val="center"/>
          </w:tcPr>
          <w:p>
            <w:pPr>
              <w:pStyle w:val="10"/>
              <w:tabs>
                <w:tab w:val="left" w:pos="642"/>
              </w:tabs>
              <w:kinsoku w:val="0"/>
              <w:overflowPunct w:val="0"/>
              <w:ind w:left="0" w:firstLine="360"/>
              <w:jc w:val="center"/>
              <w:rPr>
                <w:rFonts w:ascii="Times New Roman"/>
                <w:kern w:val="2"/>
                <w:sz w:val="1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2187" w:type="dxa"/>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集中式饮用水源地准保护区</w:t>
            </w:r>
          </w:p>
        </w:tc>
        <w:tc>
          <w:tcPr>
            <w:tcW w:w="1969" w:type="dxa"/>
            <w:vAlign w:val="center"/>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0.05</w:t>
            </w:r>
          </w:p>
        </w:tc>
        <w:tc>
          <w:tcPr>
            <w:tcW w:w="2183" w:type="dxa"/>
            <w:vAlign w:val="top"/>
          </w:tcPr>
          <w:p>
            <w:pPr>
              <w:pStyle w:val="10"/>
              <w:tabs>
                <w:tab w:val="left" w:pos="642"/>
              </w:tabs>
              <w:kinsoku w:val="0"/>
              <w:overflowPunct w:val="0"/>
              <w:ind w:left="0" w:firstLine="360"/>
              <w:jc w:val="center"/>
              <w:rPr>
                <w:rFonts w:ascii="Times New Roman"/>
                <w:kern w:val="2"/>
                <w:sz w:val="18"/>
                <w:szCs w:val="22"/>
              </w:rPr>
            </w:pPr>
            <w:r>
              <w:rPr>
                <w:rFonts w:hint="eastAsia" w:ascii="Times New Roman"/>
                <w:kern w:val="2"/>
                <w:sz w:val="18"/>
                <w:szCs w:val="22"/>
              </w:rPr>
              <w:t>0.10</w:t>
            </w:r>
            <w:r>
              <w:rPr>
                <w:rFonts w:ascii="Times New Roman"/>
                <w:kern w:val="2"/>
                <w:sz w:val="18"/>
                <w:szCs w:val="22"/>
                <w:vertAlign w:val="superscript"/>
              </w:rPr>
              <w:t>a</w:t>
            </w:r>
            <w:r>
              <w:rPr>
                <w:rFonts w:hint="eastAsia" w:ascii="Times New Roman"/>
                <w:kern w:val="2"/>
                <w:sz w:val="18"/>
                <w:szCs w:val="22"/>
              </w:rPr>
              <w:t>/</w:t>
            </w:r>
            <w:r>
              <w:rPr>
                <w:rFonts w:ascii="Times New Roman"/>
                <w:kern w:val="2"/>
                <w:sz w:val="18"/>
                <w:szCs w:val="22"/>
              </w:rPr>
              <w:t>0.0</w:t>
            </w:r>
            <w:r>
              <w:rPr>
                <w:rFonts w:hint="eastAsia" w:ascii="Times New Roman"/>
                <w:kern w:val="2"/>
                <w:sz w:val="18"/>
                <w:szCs w:val="22"/>
              </w:rPr>
              <w:t>5</w:t>
            </w:r>
            <w:r>
              <w:rPr>
                <w:rFonts w:hint="eastAsia" w:ascii="Times New Roman"/>
                <w:kern w:val="2"/>
                <w:sz w:val="18"/>
                <w:szCs w:val="22"/>
                <w:vertAlign w:val="superscript"/>
              </w:rPr>
              <w:t>b</w:t>
            </w:r>
          </w:p>
        </w:tc>
        <w:tc>
          <w:tcPr>
            <w:tcW w:w="2183" w:type="dxa"/>
            <w:vMerge w:val="continue"/>
            <w:vAlign w:val="center"/>
          </w:tcPr>
          <w:p>
            <w:pPr>
              <w:pStyle w:val="10"/>
              <w:tabs>
                <w:tab w:val="left" w:pos="642"/>
              </w:tabs>
              <w:kinsoku w:val="0"/>
              <w:overflowPunct w:val="0"/>
              <w:ind w:left="0" w:firstLine="360"/>
              <w:jc w:val="center"/>
              <w:rPr>
                <w:rFonts w:ascii="Times New Roman"/>
                <w:kern w:val="2"/>
                <w:sz w:val="1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trHeight w:val="283" w:hRule="atLeast"/>
          <w:jc w:val="center"/>
        </w:trPr>
        <w:tc>
          <w:tcPr>
            <w:tcW w:w="8522" w:type="dxa"/>
            <w:gridSpan w:val="4"/>
            <w:vAlign w:val="center"/>
          </w:tcPr>
          <w:p>
            <w:pPr>
              <w:widowControl/>
              <w:ind w:firstLine="360"/>
              <w:rPr>
                <w:sz w:val="18"/>
              </w:rPr>
            </w:pPr>
            <w:r>
              <w:rPr>
                <w:sz w:val="18"/>
                <w:vertAlign w:val="superscript"/>
              </w:rPr>
              <w:t xml:space="preserve">a </w:t>
            </w:r>
            <w:r>
              <w:rPr>
                <w:rFonts w:hint="eastAsia"/>
                <w:sz w:val="18"/>
              </w:rPr>
              <w:t>适用于园区（包括工业园区、开发区、工业聚集地等）企业向能够对纺织染整废水进行专门收集和集中预处理（不与其他废水混合）的园区污水处理厂排放的情形，集中预处理的出水应满足直接排放所要求的排放限值</w:t>
            </w:r>
            <w:r>
              <w:rPr>
                <w:sz w:val="18"/>
              </w:rPr>
              <w:t>。</w:t>
            </w:r>
          </w:p>
          <w:p>
            <w:pPr>
              <w:pStyle w:val="10"/>
              <w:tabs>
                <w:tab w:val="left" w:pos="642"/>
              </w:tabs>
              <w:kinsoku w:val="0"/>
              <w:overflowPunct w:val="0"/>
              <w:ind w:left="0" w:firstLine="360"/>
              <w:rPr>
                <w:rFonts w:ascii="Times New Roman"/>
                <w:kern w:val="2"/>
                <w:sz w:val="18"/>
                <w:szCs w:val="22"/>
              </w:rPr>
            </w:pPr>
            <w:r>
              <w:rPr>
                <w:rFonts w:ascii="Times New Roman"/>
                <w:sz w:val="18"/>
                <w:vertAlign w:val="superscript"/>
              </w:rPr>
              <w:t xml:space="preserve">b </w:t>
            </w:r>
            <w:r>
              <w:rPr>
                <w:rFonts w:hint="eastAsia" w:ascii="Times New Roman"/>
                <w:sz w:val="18"/>
              </w:rPr>
              <w:t>适用于废水进入城镇污水处理厂或经由城镇污水管线排放以及其他的间接排放情形</w:t>
            </w:r>
            <w:r>
              <w:rPr>
                <w:rFonts w:ascii="Times New Roman"/>
                <w:sz w:val="18"/>
              </w:rPr>
              <w:t>。</w:t>
            </w:r>
          </w:p>
        </w:tc>
      </w:tr>
    </w:tbl>
    <w:p>
      <w:pPr>
        <w:pStyle w:val="3"/>
      </w:pPr>
      <w:bookmarkStart w:id="59" w:name="_Toc468455279"/>
      <w:bookmarkStart w:id="60" w:name="_Toc505420236"/>
      <w:r>
        <w:t>6.5 环境监测要求</w:t>
      </w:r>
      <w:bookmarkEnd w:id="59"/>
      <w:bookmarkEnd w:id="60"/>
    </w:p>
    <w:p>
      <w:pPr>
        <w:snapToGrid/>
        <w:ind w:firstLine="420"/>
      </w:pPr>
      <w:bookmarkStart w:id="61" w:name="_Toc429261725"/>
      <w:bookmarkStart w:id="62" w:name="_Toc429261720"/>
      <w:r>
        <w:t>企业应按照有关法律和《环境监测管理办法》等规定，建立企业废水中锑污染监测制度，制定废水中锑污染物监测方案，对废水中锑污染物排放状况及其对周边环境质量的影响开展自行监测或委托第三方监测，保存原始监测记录，并公布监测结果。</w:t>
      </w:r>
    </w:p>
    <w:p>
      <w:pPr>
        <w:snapToGrid/>
        <w:ind w:firstLine="420"/>
      </w:pPr>
      <w:r>
        <w:t>对企业排放废水的采样，应在废水总排口进行。在污染物排放监控位置设置永久性排污口标志和废水流量连续计量装置。只有排放口达标的废水方可直接、间接排放或用于纺织染整行业企业的重复利用。</w:t>
      </w:r>
    </w:p>
    <w:p>
      <w:pPr>
        <w:snapToGrid/>
        <w:ind w:firstLine="420"/>
      </w:pPr>
      <w:r>
        <w:t>地方环境监测机构对废水的监督性监测和企业自行监测，其采样频次和采样方法参照《地表水和污水监测技术规范》（HJ/T 91）中污染源污水监测的采样规定执行。</w:t>
      </w:r>
    </w:p>
    <w:p>
      <w:pPr>
        <w:snapToGrid/>
        <w:ind w:firstLine="420"/>
      </w:pPr>
      <w:r>
        <w:t>企业安装污染物排放自动监控设备的要求，按有关法律和《污染源自动监控管理办法》的规定执行。</w:t>
      </w:r>
    </w:p>
    <w:p>
      <w:pPr>
        <w:snapToGrid/>
        <w:ind w:firstLine="420"/>
      </w:pPr>
      <w:r>
        <w:t>经资料查阅，水中锑的分析方法一般有分光光度法、原子吸收法、氢化物原子吸收分光光度法、原子荧光法、电感耦合等离子发射光谱法、电感耦合等离子质谱法，详见表11。</w:t>
      </w:r>
    </w:p>
    <w:p>
      <w:pPr>
        <w:widowControl/>
        <w:snapToGrid/>
        <w:ind w:firstLine="0" w:firstLineChars="0"/>
        <w:jc w:val="center"/>
        <w:rPr>
          <w:rFonts w:eastAsia="黑体"/>
          <w:iCs/>
        </w:rPr>
      </w:pPr>
      <w:r>
        <w:rPr>
          <w:rFonts w:eastAsia="黑体"/>
          <w:iCs/>
        </w:rPr>
        <w:t>表11</w:t>
      </w:r>
      <w:r>
        <w:rPr>
          <w:rFonts w:hint="eastAsia" w:eastAsia="黑体"/>
          <w:iCs/>
        </w:rPr>
        <w:t xml:space="preserve"> </w:t>
      </w:r>
      <w:r>
        <w:rPr>
          <w:rFonts w:eastAsia="黑体"/>
          <w:iCs/>
        </w:rPr>
        <w:t xml:space="preserve"> 水中锑分析方法</w:t>
      </w:r>
    </w:p>
    <w:tbl>
      <w:tblPr>
        <w:tblStyle w:val="5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9"/>
        <w:gridCol w:w="1882"/>
        <w:gridCol w:w="1756"/>
        <w:gridCol w:w="1343"/>
        <w:gridCol w:w="1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blHeader/>
          <w:jc w:val="center"/>
        </w:trPr>
        <w:tc>
          <w:tcPr>
            <w:tcW w:w="1709"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方法名称</w:t>
            </w:r>
          </w:p>
        </w:tc>
        <w:tc>
          <w:tcPr>
            <w:tcW w:w="1882"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方法编号</w:t>
            </w:r>
          </w:p>
        </w:tc>
        <w:tc>
          <w:tcPr>
            <w:tcW w:w="1756"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方法类型</w:t>
            </w:r>
          </w:p>
        </w:tc>
        <w:tc>
          <w:tcPr>
            <w:tcW w:w="1343"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检出限</w:t>
            </w:r>
          </w:p>
        </w:tc>
        <w:tc>
          <w:tcPr>
            <w:tcW w:w="1832" w:type="dxa"/>
            <w:vAlign w:val="center"/>
          </w:tcPr>
          <w:p>
            <w:pPr>
              <w:widowControl/>
              <w:ind w:firstLine="0" w:firstLineChars="0"/>
              <w:jc w:val="center"/>
              <w:rPr>
                <w:rFonts w:ascii="Calibri" w:hAnsi="Calibri"/>
                <w:color w:val="000000"/>
                <w:kern w:val="2"/>
                <w:sz w:val="21"/>
                <w:szCs w:val="21"/>
              </w:rPr>
            </w:pPr>
            <w:r>
              <w:rPr>
                <w:rFonts w:ascii="Calibri" w:hAnsi="Calibri"/>
                <w:color w:val="000000"/>
                <w:kern w:val="2"/>
                <w:sz w:val="21"/>
                <w:szCs w:val="21"/>
              </w:rPr>
              <w:t>测量基质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生活饮用水标准检验方法金属指标</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GB/T 5750.6-2006</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原子荧光法</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氢化物GFAAS</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ICP</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ICP-MS</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0.5 µg/L</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1 µg/L</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30 µg/L</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0.07 µg/L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饮用水</w:t>
            </w:r>
          </w:p>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水源水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5-Br-PAPAP分光光度法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水和废水监测分析方法第四版</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分光光度法</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0.05 mg/L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火焰原子吸收法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水和废水监测分析方法第四版</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FAAS</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0.2 mg/L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水质锑的测定火焰原子吸收分光光度法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环保部标准征求意见中</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FAAS</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0.18 mg/L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高浓度废水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水质锑的测定石墨炉原子吸收分光光度法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环保部标准征求意见中</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原子吸收法</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1.4 µg/L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地表水、地下水、一定浓度废水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原子荧光法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水和废水监测分析方法第四版</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原子荧光法</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0.2 µg/L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水质汞、砷、硒、铋和锑的测定原子荧光法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HJ 694-2014</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原子荧光法</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0.2 µg/L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地表水、地下水、生活污水、工业废水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水质65种元素的测定电感耦合等离子体质谱法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HJ 700-2014</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ICP-MS</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0.15 µg/L</w:t>
            </w:r>
          </w:p>
        </w:tc>
        <w:tc>
          <w:tcPr>
            <w:tcW w:w="183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地表水、地下水、生活污水、低浓度工业废水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jc w:val="center"/>
        </w:trPr>
        <w:tc>
          <w:tcPr>
            <w:tcW w:w="1709" w:type="dxa"/>
            <w:vAlign w:val="center"/>
          </w:tcPr>
          <w:p>
            <w:pPr>
              <w:adjustRightInd w:val="0"/>
              <w:spacing w:line="240" w:lineRule="atLeast"/>
              <w:ind w:firstLine="0" w:firstLineChars="0"/>
              <w:rPr>
                <w:rFonts w:ascii="Calibri" w:hAnsi="Calibri"/>
                <w:kern w:val="2"/>
                <w:sz w:val="21"/>
                <w:szCs w:val="21"/>
              </w:rPr>
            </w:pPr>
            <w:r>
              <w:rPr>
                <w:rFonts w:hint="eastAsia" w:ascii="Calibri" w:hAnsi="Calibri"/>
                <w:kern w:val="2"/>
                <w:sz w:val="21"/>
                <w:szCs w:val="21"/>
              </w:rPr>
              <w:t>水质32种元素的测定电感耦合等离子体发射光谱法</w:t>
            </w:r>
          </w:p>
        </w:tc>
        <w:tc>
          <w:tcPr>
            <w:tcW w:w="1882"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HJ 7</w:t>
            </w:r>
            <w:r>
              <w:rPr>
                <w:rFonts w:hint="eastAsia" w:ascii="Calibri" w:hAnsi="Calibri"/>
                <w:kern w:val="2"/>
                <w:sz w:val="21"/>
                <w:szCs w:val="21"/>
              </w:rPr>
              <w:t>76</w:t>
            </w:r>
            <w:r>
              <w:rPr>
                <w:rFonts w:ascii="Calibri" w:hAnsi="Calibri"/>
                <w:kern w:val="2"/>
                <w:sz w:val="21"/>
                <w:szCs w:val="21"/>
              </w:rPr>
              <w:t>-201</w:t>
            </w:r>
            <w:r>
              <w:rPr>
                <w:rFonts w:hint="eastAsia" w:ascii="Calibri" w:hAnsi="Calibri"/>
                <w:kern w:val="2"/>
                <w:sz w:val="21"/>
                <w:szCs w:val="21"/>
              </w:rPr>
              <w:t>5</w:t>
            </w:r>
          </w:p>
        </w:tc>
        <w:tc>
          <w:tcPr>
            <w:tcW w:w="1756" w:type="dxa"/>
            <w:vAlign w:val="center"/>
          </w:tcPr>
          <w:p>
            <w:pPr>
              <w:adjustRightInd w:val="0"/>
              <w:spacing w:line="240" w:lineRule="atLeast"/>
              <w:ind w:firstLine="0" w:firstLineChars="0"/>
              <w:jc w:val="center"/>
              <w:rPr>
                <w:rFonts w:ascii="Calibri" w:hAnsi="Calibri"/>
                <w:kern w:val="2"/>
                <w:sz w:val="21"/>
                <w:szCs w:val="21"/>
              </w:rPr>
            </w:pPr>
            <w:r>
              <w:rPr>
                <w:rFonts w:ascii="Calibri" w:hAnsi="Calibri"/>
                <w:kern w:val="2"/>
                <w:sz w:val="21"/>
                <w:szCs w:val="21"/>
              </w:rPr>
              <w:t>ICP-</w:t>
            </w:r>
            <w:r>
              <w:rPr>
                <w:rFonts w:hint="eastAsia" w:ascii="Calibri" w:hAnsi="Calibri"/>
                <w:kern w:val="2"/>
                <w:sz w:val="21"/>
                <w:szCs w:val="21"/>
              </w:rPr>
              <w:t>AE</w:t>
            </w:r>
            <w:r>
              <w:rPr>
                <w:rFonts w:ascii="Calibri" w:hAnsi="Calibri"/>
                <w:kern w:val="2"/>
                <w:sz w:val="21"/>
                <w:szCs w:val="21"/>
              </w:rPr>
              <w:t>S</w:t>
            </w:r>
          </w:p>
        </w:tc>
        <w:tc>
          <w:tcPr>
            <w:tcW w:w="1343" w:type="dxa"/>
            <w:vAlign w:val="center"/>
          </w:tcPr>
          <w:p>
            <w:pPr>
              <w:adjustRightInd w:val="0"/>
              <w:spacing w:line="240" w:lineRule="atLeast"/>
              <w:ind w:firstLine="0" w:firstLineChars="0"/>
              <w:jc w:val="center"/>
              <w:rPr>
                <w:rFonts w:ascii="Calibri" w:hAnsi="Calibri"/>
                <w:kern w:val="2"/>
                <w:sz w:val="21"/>
                <w:szCs w:val="21"/>
              </w:rPr>
            </w:pPr>
            <w:r>
              <w:rPr>
                <w:rFonts w:hint="eastAsia" w:ascii="Calibri" w:hAnsi="Calibri"/>
                <w:kern w:val="2"/>
                <w:sz w:val="21"/>
                <w:szCs w:val="21"/>
              </w:rPr>
              <w:t>0.06</w:t>
            </w:r>
            <w:r>
              <w:rPr>
                <w:rFonts w:ascii="Calibri" w:hAnsi="Calibri"/>
                <w:kern w:val="2"/>
                <w:sz w:val="21"/>
                <w:szCs w:val="21"/>
              </w:rPr>
              <w:t xml:space="preserve"> </w:t>
            </w:r>
            <w:r>
              <w:rPr>
                <w:rFonts w:hint="eastAsia" w:ascii="Calibri" w:hAnsi="Calibri"/>
                <w:kern w:val="2"/>
                <w:sz w:val="21"/>
                <w:szCs w:val="21"/>
              </w:rPr>
              <w:t>mg/L</w:t>
            </w:r>
          </w:p>
        </w:tc>
        <w:tc>
          <w:tcPr>
            <w:tcW w:w="1832" w:type="dxa"/>
            <w:vAlign w:val="center"/>
          </w:tcPr>
          <w:p>
            <w:pPr>
              <w:adjustRightInd w:val="0"/>
              <w:spacing w:line="240" w:lineRule="atLeast"/>
              <w:ind w:firstLine="0" w:firstLineChars="0"/>
              <w:rPr>
                <w:rFonts w:ascii="Calibri" w:hAnsi="Calibri"/>
                <w:kern w:val="2"/>
                <w:sz w:val="21"/>
                <w:szCs w:val="21"/>
              </w:rPr>
            </w:pPr>
            <w:r>
              <w:rPr>
                <w:rFonts w:hint="eastAsia" w:ascii="Calibri" w:hAnsi="Calibri"/>
                <w:kern w:val="2"/>
                <w:sz w:val="21"/>
                <w:szCs w:val="21"/>
              </w:rPr>
              <w:t>地表水、地下水、生活污水、工业废水</w:t>
            </w:r>
          </w:p>
        </w:tc>
      </w:tr>
    </w:tbl>
    <w:p>
      <w:pPr>
        <w:snapToGrid/>
        <w:ind w:firstLine="420"/>
      </w:pPr>
      <w:r>
        <w:t>分光光度法操作繁琐，分析速度慢，检出限高，对于复杂或低浓度样品需采取分离或富集技术。而且对于工业废水锑浓度的监测，生活饮用水标准检验方法金属指标不尽适用；分光光度法和火焰原子吸收法一般适用于分析高浓度废水，检出限均高于《地表水环境质量标准》（GB 3838-2002）5 µg/L的标准值。石墨炉原子吸收法精密度较差，分析校准曲线的线性范围窄，对于复杂样品分析抗干扰能力低。</w:t>
      </w:r>
    </w:p>
    <w:p>
      <w:pPr>
        <w:snapToGrid/>
        <w:ind w:firstLine="420"/>
      </w:pPr>
      <w:r>
        <w:t>《水质</w:t>
      </w:r>
      <w:r>
        <w:rPr>
          <w:rFonts w:hint="eastAsia"/>
        </w:rPr>
        <w:t xml:space="preserve"> </w:t>
      </w:r>
      <w:r>
        <w:t>汞、砷、硒、铋和锑的测定</w:t>
      </w:r>
      <w:r>
        <w:rPr>
          <w:rFonts w:hint="eastAsia"/>
        </w:rPr>
        <w:t xml:space="preserve"> </w:t>
      </w:r>
      <w:r>
        <w:t>原子荧光法》（HJ 694-2014）中，锑可采用原子荧光法监测，检出限为0.2 µg/L，可满足地表水标准和排放标准限值要求。对于测量低浓度的废水，原子荧光法具有谱线简单，干扰少，分析校准曲线的线性范围宽，灵敏度高等优点。</w:t>
      </w:r>
    </w:p>
    <w:p>
      <w:pPr>
        <w:snapToGrid/>
        <w:ind w:firstLine="420"/>
      </w:pPr>
      <w:r>
        <w:t>《水质 6</w:t>
      </w:r>
      <w:r>
        <w:rPr>
          <w:rFonts w:hint="eastAsia"/>
        </w:rPr>
        <w:t>5种</w:t>
      </w:r>
      <w:r>
        <w:t>元素的测定</w:t>
      </w:r>
      <w:r>
        <w:rPr>
          <w:rFonts w:hint="eastAsia"/>
        </w:rPr>
        <w:t xml:space="preserve"> </w:t>
      </w:r>
      <w:r>
        <w:t>电感耦合等离子体质谱法》（HJ 700-2014）中，锑可采用ICP-MS监测方法，检出限为0.15 µg/L，可满足地表水标准和排放标准限值要求。同时，锑元素的原子量为121.75，属于重金属元素，质谱仪对原子量越大的元素，检测误差越小，灵敏度越高，谱线简单、检测方便，测量准确的优点。</w:t>
      </w:r>
    </w:p>
    <w:p>
      <w:pPr>
        <w:snapToGrid/>
        <w:ind w:firstLine="420"/>
      </w:pPr>
      <w:r>
        <w:rPr>
          <w:rFonts w:hint="eastAsia"/>
        </w:rPr>
        <w:t>《水质 32种元素的测定 电感耦合等离子体发射光谱法》</w:t>
      </w:r>
      <w:r>
        <w:t>（HJ 7</w:t>
      </w:r>
      <w:r>
        <w:rPr>
          <w:rFonts w:hint="eastAsia"/>
        </w:rPr>
        <w:t>76</w:t>
      </w:r>
      <w:r>
        <w:t>-201</w:t>
      </w:r>
      <w:r>
        <w:rPr>
          <w:rFonts w:hint="eastAsia"/>
        </w:rPr>
        <w:t>5</w:t>
      </w:r>
      <w:r>
        <w:t>）中，</w:t>
      </w:r>
      <w:r>
        <w:rPr>
          <w:rFonts w:hint="eastAsia"/>
        </w:rPr>
        <w:t>锑可采用</w:t>
      </w:r>
      <w:r>
        <w:t>ICP-</w:t>
      </w:r>
      <w:r>
        <w:rPr>
          <w:rFonts w:hint="eastAsia"/>
        </w:rPr>
        <w:t>AE</w:t>
      </w:r>
      <w:r>
        <w:t>S</w:t>
      </w:r>
      <w:r>
        <w:rPr>
          <w:rFonts w:hint="eastAsia"/>
        </w:rPr>
        <w:t>法监测，分析速度快、时间分布稳定、线性范围宽，用于工业废水监测准确度和精密度都较高。</w:t>
      </w:r>
    </w:p>
    <w:p>
      <w:pPr>
        <w:snapToGrid/>
        <w:ind w:firstLine="420"/>
      </w:pPr>
      <w:r>
        <w:t>因此，本标准规定采用《水质</w:t>
      </w:r>
      <w:r>
        <w:rPr>
          <w:rFonts w:hint="eastAsia"/>
        </w:rPr>
        <w:t xml:space="preserve"> </w:t>
      </w:r>
      <w:r>
        <w:t>汞、砷、硒、铋和锑的测定</w:t>
      </w:r>
      <w:r>
        <w:rPr>
          <w:rFonts w:hint="eastAsia"/>
        </w:rPr>
        <w:t xml:space="preserve"> </w:t>
      </w:r>
      <w:r>
        <w:t>原子荧光法》</w:t>
      </w:r>
      <w:r>
        <w:rPr>
          <w:rFonts w:hint="eastAsia"/>
        </w:rPr>
        <w:t>（</w:t>
      </w:r>
      <w:r>
        <w:t>HJ 694-2014）中的原子荧光法</w:t>
      </w:r>
      <w:r>
        <w:rPr>
          <w:rFonts w:hint="eastAsia"/>
        </w:rPr>
        <w:t>、</w:t>
      </w:r>
      <w:r>
        <w:t>《水质</w:t>
      </w:r>
      <w:r>
        <w:rPr>
          <w:rFonts w:hint="eastAsia"/>
        </w:rPr>
        <w:t xml:space="preserve"> </w:t>
      </w:r>
      <w:r>
        <w:t>65种元素的测定</w:t>
      </w:r>
      <w:r>
        <w:rPr>
          <w:rFonts w:hint="eastAsia"/>
        </w:rPr>
        <w:t xml:space="preserve"> </w:t>
      </w:r>
      <w:r>
        <w:t>电感耦合等离子体质谱法》（HJ 700-2014）中ICP-MS</w:t>
      </w:r>
      <w:r>
        <w:rPr>
          <w:rFonts w:hint="eastAsia"/>
        </w:rPr>
        <w:t>或《水质 32种元素的测定 电感耦合等离子体发射光谱法》</w:t>
      </w:r>
      <w:r>
        <w:t>（HJ 7</w:t>
      </w:r>
      <w:r>
        <w:rPr>
          <w:rFonts w:hint="eastAsia"/>
        </w:rPr>
        <w:t>76</w:t>
      </w:r>
      <w:r>
        <w:t>-201</w:t>
      </w:r>
      <w:r>
        <w:rPr>
          <w:rFonts w:hint="eastAsia"/>
        </w:rPr>
        <w:t>5</w:t>
      </w:r>
      <w:r>
        <w:t>）</w:t>
      </w:r>
      <w:r>
        <w:rPr>
          <w:rFonts w:hint="eastAsia"/>
        </w:rPr>
        <w:t>中</w:t>
      </w:r>
      <w:r>
        <w:t>ICP-</w:t>
      </w:r>
      <w:r>
        <w:rPr>
          <w:rFonts w:hint="eastAsia"/>
        </w:rPr>
        <w:t>AE</w:t>
      </w:r>
      <w:r>
        <w:t>S的监测方法作为废水中锑浓度的监测方法。</w:t>
      </w:r>
    </w:p>
    <w:p>
      <w:pPr>
        <w:snapToGrid/>
        <w:ind w:firstLine="420"/>
      </w:pPr>
    </w:p>
    <w:p>
      <w:pPr>
        <w:pStyle w:val="2"/>
      </w:pPr>
      <w:bookmarkStart w:id="63" w:name="_Toc468455280"/>
      <w:bookmarkStart w:id="64" w:name="_Toc505420237"/>
      <w:r>
        <w:rPr>
          <w:rFonts w:hint="eastAsia"/>
        </w:rPr>
        <w:t>7 国内外相关锑污染物管控标准</w:t>
      </w:r>
      <w:bookmarkEnd w:id="63"/>
      <w:bookmarkEnd w:id="64"/>
    </w:p>
    <w:p>
      <w:pPr>
        <w:pStyle w:val="3"/>
      </w:pPr>
      <w:bookmarkStart w:id="65" w:name="_Toc429261716"/>
      <w:bookmarkStart w:id="66" w:name="_Toc468455281"/>
      <w:bookmarkStart w:id="67" w:name="_Toc505420238"/>
      <w:r>
        <w:t xml:space="preserve">7.1 </w:t>
      </w:r>
      <w:bookmarkEnd w:id="65"/>
      <w:r>
        <w:t>污染物排放标准</w:t>
      </w:r>
      <w:bookmarkEnd w:id="66"/>
      <w:bookmarkEnd w:id="67"/>
    </w:p>
    <w:p>
      <w:pPr>
        <w:snapToGrid/>
        <w:ind w:firstLine="420"/>
      </w:pPr>
      <w:r>
        <w:t>国外：德国和欧盟玻璃工业水污染物排放标准锑浓度限值为0.3 mg/L。</w:t>
      </w:r>
    </w:p>
    <w:p>
      <w:pPr>
        <w:snapToGrid/>
        <w:ind w:firstLine="420"/>
      </w:pPr>
      <w:r>
        <w:t>国内：湖南作为锑生产大省，首先制定了《工业废水中锑污染物排放标准》（DB 43/350-2007），但此标准仅适用于现有锑的采、选、冶、加工工业企业排放废水中锑污染物的排放管理，并在《锡、锑、汞工业污染排放标准》（GB 30770-2014）颁布实施后被新国标替代。对于纺织染整工业涉及锑污染物的排放管理，国家于2015年公告了《&lt;纺织染整工业水污染物排放标准&gt;（GB 4287-2012）修改单》（环境保护部公告2015年第19号），首次对纺织染整工业企业废水总排放口增设锑的排放控制要求，直接排放与间接排放限值均为100 µg/L。</w:t>
      </w:r>
    </w:p>
    <w:p>
      <w:pPr>
        <w:pStyle w:val="3"/>
      </w:pPr>
      <w:bookmarkStart w:id="68" w:name="_Toc505420239"/>
      <w:bookmarkStart w:id="69" w:name="_Toc468455282"/>
      <w:r>
        <w:t>7.2 环境质量标准</w:t>
      </w:r>
      <w:bookmarkEnd w:id="68"/>
      <w:bookmarkEnd w:id="69"/>
    </w:p>
    <w:p>
      <w:pPr>
        <w:snapToGrid/>
        <w:ind w:firstLine="420"/>
      </w:pPr>
      <w:r>
        <w:t>国外：国际上锑浓度限值标准主要针对地表水和生活饮用水制定，世界卫生组织规定饮用水中的锑含量应低于0.005 mg/L，美国环境保护署（EPA）将生活饮用水中锑浓度限值设定为0.006 mg/L，欧盟和德国生活饮用水中锑浓度限值均为0.005 mg/L，日本对生活饮用水中锑浓度要求最为严格，其值设定为0.002 mg/L，韩国规定了地表水锑浓度限值为0.02 mg/L。</w:t>
      </w:r>
    </w:p>
    <w:p>
      <w:pPr>
        <w:snapToGrid/>
        <w:ind w:firstLine="420"/>
      </w:pPr>
      <w:r>
        <w:t>国内：我国于1998年制定了《城市给水工程规划规范》（GB 50282-98），其中对生活饮用水锑浓度限值设定为0.01 mg/L，同时还规定饮用水水源中锑小于0.05 mg/L；随着对锑污染危害的认识加深，锑浓度标准限值逐渐与国际接轨，在《地表水环境质量标准》（GB 3838-2002）和《生活饮用水卫生标准》（GB 5749-2006）中，对地表水集中式饮用水源地和生活饮用水的锑浓度限值均设定为0.005 mg/L。</w:t>
      </w:r>
    </w:p>
    <w:p>
      <w:pPr>
        <w:snapToGrid/>
        <w:ind w:firstLine="420"/>
      </w:pPr>
      <w:r>
        <w:t>国内外锑相关标准限值见表12。</w:t>
      </w:r>
    </w:p>
    <w:p>
      <w:pPr>
        <w:widowControl/>
        <w:snapToGrid/>
        <w:ind w:firstLine="0" w:firstLineChars="0"/>
        <w:jc w:val="center"/>
        <w:rPr>
          <w:rFonts w:eastAsia="黑体"/>
          <w:iCs/>
        </w:rPr>
      </w:pPr>
      <w:r>
        <w:rPr>
          <w:rFonts w:eastAsia="黑体"/>
          <w:iCs/>
        </w:rPr>
        <w:t>表12</w:t>
      </w:r>
      <w:r>
        <w:rPr>
          <w:rFonts w:hint="eastAsia" w:eastAsia="黑体"/>
          <w:iCs/>
        </w:rPr>
        <w:t xml:space="preserve"> </w:t>
      </w:r>
      <w:r>
        <w:rPr>
          <w:rFonts w:eastAsia="黑体"/>
          <w:iCs/>
        </w:rPr>
        <w:t xml:space="preserve"> 国内外相关标准及锑浓度限值</w:t>
      </w:r>
    </w:p>
    <w:tbl>
      <w:tblPr>
        <w:tblStyle w:val="3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427"/>
        <w:gridCol w:w="3935"/>
        <w:gridCol w:w="2834"/>
        <w:gridCol w:w="13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tblHeader/>
          <w:jc w:val="center"/>
        </w:trPr>
        <w:tc>
          <w:tcPr>
            <w:tcW w:w="427" w:type="dxa"/>
            <w:vAlign w:val="center"/>
          </w:tcPr>
          <w:p>
            <w:pPr>
              <w:widowControl/>
              <w:ind w:firstLine="0" w:firstLineChars="0"/>
              <w:jc w:val="center"/>
              <w:rPr>
                <w:color w:val="000000"/>
                <w:kern w:val="2"/>
                <w:szCs w:val="21"/>
              </w:rPr>
            </w:pPr>
            <w:r>
              <w:rPr>
                <w:color w:val="000000"/>
                <w:kern w:val="2"/>
                <w:szCs w:val="21"/>
              </w:rPr>
              <w:t>国家</w:t>
            </w:r>
          </w:p>
        </w:tc>
        <w:tc>
          <w:tcPr>
            <w:tcW w:w="3935" w:type="dxa"/>
            <w:vAlign w:val="center"/>
          </w:tcPr>
          <w:p>
            <w:pPr>
              <w:widowControl/>
              <w:ind w:firstLine="0" w:firstLineChars="0"/>
              <w:jc w:val="center"/>
              <w:rPr>
                <w:color w:val="000000"/>
                <w:kern w:val="2"/>
                <w:szCs w:val="21"/>
              </w:rPr>
            </w:pPr>
            <w:r>
              <w:rPr>
                <w:color w:val="000000"/>
                <w:kern w:val="2"/>
                <w:szCs w:val="21"/>
              </w:rPr>
              <w:t>标准名称</w:t>
            </w:r>
          </w:p>
        </w:tc>
        <w:tc>
          <w:tcPr>
            <w:tcW w:w="2834" w:type="dxa"/>
            <w:vAlign w:val="center"/>
          </w:tcPr>
          <w:p>
            <w:pPr>
              <w:widowControl/>
              <w:ind w:firstLine="0" w:firstLineChars="0"/>
              <w:jc w:val="center"/>
              <w:rPr>
                <w:color w:val="000000"/>
                <w:kern w:val="2"/>
                <w:szCs w:val="21"/>
              </w:rPr>
            </w:pPr>
            <w:r>
              <w:rPr>
                <w:color w:val="000000"/>
                <w:kern w:val="2"/>
                <w:szCs w:val="21"/>
              </w:rPr>
              <w:t>水类型</w:t>
            </w:r>
          </w:p>
        </w:tc>
        <w:tc>
          <w:tcPr>
            <w:tcW w:w="1326" w:type="dxa"/>
            <w:vAlign w:val="center"/>
          </w:tcPr>
          <w:p>
            <w:pPr>
              <w:widowControl/>
              <w:ind w:firstLine="0" w:firstLineChars="0"/>
              <w:jc w:val="center"/>
              <w:rPr>
                <w:color w:val="000000"/>
                <w:kern w:val="2"/>
                <w:szCs w:val="21"/>
              </w:rPr>
            </w:pPr>
            <w:r>
              <w:rPr>
                <w:color w:val="000000"/>
                <w:kern w:val="2"/>
                <w:szCs w:val="21"/>
              </w:rPr>
              <w:t>锑标准限值(mg/L)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113" w:hRule="atLeast"/>
          <w:jc w:val="center"/>
        </w:trPr>
        <w:tc>
          <w:tcPr>
            <w:tcW w:w="427" w:type="dxa"/>
            <w:vMerge w:val="restart"/>
            <w:vAlign w:val="center"/>
          </w:tcPr>
          <w:p>
            <w:pPr>
              <w:snapToGrid/>
              <w:ind w:firstLine="0" w:firstLineChars="0"/>
              <w:jc w:val="center"/>
              <w:rPr>
                <w:kern w:val="15"/>
                <w:szCs w:val="21"/>
              </w:rPr>
            </w:pPr>
            <w:r>
              <w:rPr>
                <w:kern w:val="15"/>
                <w:szCs w:val="21"/>
              </w:rPr>
              <w:t>中国</w:t>
            </w:r>
          </w:p>
        </w:tc>
        <w:tc>
          <w:tcPr>
            <w:tcW w:w="3935" w:type="dxa"/>
            <w:vAlign w:val="center"/>
          </w:tcPr>
          <w:p>
            <w:pPr>
              <w:snapToGrid/>
              <w:ind w:firstLine="0" w:firstLineChars="0"/>
              <w:jc w:val="center"/>
              <w:rPr>
                <w:kern w:val="15"/>
                <w:szCs w:val="21"/>
              </w:rPr>
            </w:pPr>
            <w:r>
              <w:rPr>
                <w:kern w:val="15"/>
                <w:szCs w:val="21"/>
              </w:rPr>
              <w:t>《地表水环境质量标准》GB 3838-2002</w:t>
            </w:r>
          </w:p>
        </w:tc>
        <w:tc>
          <w:tcPr>
            <w:tcW w:w="2834" w:type="dxa"/>
            <w:vAlign w:val="center"/>
          </w:tcPr>
          <w:p>
            <w:pPr>
              <w:snapToGrid/>
              <w:ind w:firstLine="0" w:firstLineChars="0"/>
              <w:jc w:val="center"/>
              <w:rPr>
                <w:kern w:val="15"/>
                <w:szCs w:val="21"/>
              </w:rPr>
            </w:pPr>
            <w:r>
              <w:rPr>
                <w:kern w:val="15"/>
                <w:szCs w:val="21"/>
              </w:rPr>
              <w:t>地表水集中式饮用水源地</w:t>
            </w:r>
          </w:p>
        </w:tc>
        <w:tc>
          <w:tcPr>
            <w:tcW w:w="1326" w:type="dxa"/>
            <w:vAlign w:val="center"/>
          </w:tcPr>
          <w:p>
            <w:pPr>
              <w:snapToGrid/>
              <w:ind w:firstLine="0" w:firstLineChars="0"/>
              <w:jc w:val="center"/>
              <w:rPr>
                <w:kern w:val="15"/>
                <w:szCs w:val="21"/>
              </w:rPr>
            </w:pPr>
            <w:r>
              <w:rPr>
                <w:kern w:val="15"/>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Align w:val="center"/>
          </w:tcPr>
          <w:p>
            <w:pPr>
              <w:snapToGrid/>
              <w:ind w:firstLine="0" w:firstLineChars="0"/>
              <w:jc w:val="center"/>
              <w:rPr>
                <w:kern w:val="15"/>
                <w:szCs w:val="21"/>
              </w:rPr>
            </w:pPr>
            <w:r>
              <w:rPr>
                <w:kern w:val="15"/>
                <w:szCs w:val="21"/>
              </w:rPr>
              <w:t>《生活饮用水卫生标准》GB 5749-2006</w:t>
            </w:r>
          </w:p>
        </w:tc>
        <w:tc>
          <w:tcPr>
            <w:tcW w:w="2834" w:type="dxa"/>
            <w:vAlign w:val="center"/>
          </w:tcPr>
          <w:p>
            <w:pPr>
              <w:snapToGrid/>
              <w:ind w:firstLine="0" w:firstLineChars="0"/>
              <w:jc w:val="center"/>
              <w:rPr>
                <w:kern w:val="15"/>
                <w:szCs w:val="21"/>
              </w:rPr>
            </w:pPr>
            <w:r>
              <w:rPr>
                <w:kern w:val="15"/>
                <w:szCs w:val="21"/>
              </w:rPr>
              <w:t>生活饮用水</w:t>
            </w:r>
          </w:p>
        </w:tc>
        <w:tc>
          <w:tcPr>
            <w:tcW w:w="1326" w:type="dxa"/>
            <w:vAlign w:val="center"/>
          </w:tcPr>
          <w:p>
            <w:pPr>
              <w:snapToGrid/>
              <w:ind w:firstLine="0" w:firstLineChars="0"/>
              <w:jc w:val="center"/>
              <w:rPr>
                <w:kern w:val="15"/>
                <w:szCs w:val="21"/>
              </w:rPr>
            </w:pPr>
            <w:r>
              <w:rPr>
                <w:kern w:val="15"/>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Align w:val="center"/>
          </w:tcPr>
          <w:p>
            <w:pPr>
              <w:snapToGrid/>
              <w:ind w:firstLine="0" w:firstLineChars="0"/>
              <w:jc w:val="center"/>
              <w:rPr>
                <w:kern w:val="15"/>
                <w:szCs w:val="21"/>
              </w:rPr>
            </w:pPr>
            <w:r>
              <w:rPr>
                <w:kern w:val="15"/>
                <w:szCs w:val="21"/>
              </w:rPr>
              <w:t>《城市给水工程规划规范》GB 50282-98</w:t>
            </w:r>
          </w:p>
        </w:tc>
        <w:tc>
          <w:tcPr>
            <w:tcW w:w="2834" w:type="dxa"/>
            <w:vAlign w:val="center"/>
          </w:tcPr>
          <w:p>
            <w:pPr>
              <w:snapToGrid/>
              <w:ind w:firstLine="0" w:firstLineChars="0"/>
              <w:jc w:val="center"/>
              <w:rPr>
                <w:kern w:val="15"/>
                <w:szCs w:val="21"/>
              </w:rPr>
            </w:pPr>
            <w:r>
              <w:rPr>
                <w:kern w:val="15"/>
                <w:szCs w:val="21"/>
              </w:rPr>
              <w:t>生活饮用水水质指标</w:t>
            </w:r>
          </w:p>
        </w:tc>
        <w:tc>
          <w:tcPr>
            <w:tcW w:w="1326" w:type="dxa"/>
            <w:vAlign w:val="center"/>
          </w:tcPr>
          <w:p>
            <w:pPr>
              <w:snapToGrid/>
              <w:ind w:firstLine="0" w:firstLineChars="0"/>
              <w:jc w:val="center"/>
              <w:rPr>
                <w:kern w:val="15"/>
                <w:szCs w:val="21"/>
              </w:rPr>
            </w:pPr>
            <w:r>
              <w:rPr>
                <w:kern w:val="15"/>
                <w:szCs w:val="21"/>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Align w:val="center"/>
          </w:tcPr>
          <w:p>
            <w:pPr>
              <w:snapToGrid/>
              <w:ind w:firstLine="0" w:firstLineChars="0"/>
              <w:jc w:val="center"/>
              <w:rPr>
                <w:kern w:val="15"/>
                <w:szCs w:val="21"/>
              </w:rPr>
            </w:pPr>
            <w:r>
              <w:rPr>
                <w:kern w:val="15"/>
                <w:szCs w:val="21"/>
              </w:rPr>
              <w:t>《纺织染整工业水污染物排放标准》（GB 4287-2012）及其修改单（环境保护部公告2015年第19号）</w:t>
            </w:r>
          </w:p>
        </w:tc>
        <w:tc>
          <w:tcPr>
            <w:tcW w:w="2834" w:type="dxa"/>
            <w:vAlign w:val="center"/>
          </w:tcPr>
          <w:p>
            <w:pPr>
              <w:snapToGrid/>
              <w:ind w:firstLine="0" w:firstLineChars="0"/>
              <w:jc w:val="center"/>
              <w:rPr>
                <w:kern w:val="15"/>
                <w:szCs w:val="21"/>
              </w:rPr>
            </w:pPr>
            <w:r>
              <w:rPr>
                <w:kern w:val="15"/>
                <w:szCs w:val="21"/>
              </w:rPr>
              <w:t>纺织染整行业废水</w:t>
            </w:r>
          </w:p>
        </w:tc>
        <w:tc>
          <w:tcPr>
            <w:tcW w:w="1326" w:type="dxa"/>
            <w:vAlign w:val="center"/>
          </w:tcPr>
          <w:p>
            <w:pPr>
              <w:snapToGrid/>
              <w:ind w:firstLine="0" w:firstLineChars="0"/>
              <w:jc w:val="center"/>
              <w:rPr>
                <w:kern w:val="15"/>
                <w:szCs w:val="21"/>
              </w:rPr>
            </w:pPr>
            <w:r>
              <w:rPr>
                <w:kern w:val="15"/>
                <w:szCs w:val="21"/>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Merge w:val="restart"/>
            <w:vAlign w:val="center"/>
          </w:tcPr>
          <w:p>
            <w:pPr>
              <w:snapToGrid/>
              <w:ind w:firstLine="0" w:firstLineChars="0"/>
              <w:jc w:val="center"/>
              <w:rPr>
                <w:kern w:val="15"/>
                <w:szCs w:val="21"/>
              </w:rPr>
            </w:pPr>
            <w:r>
              <w:rPr>
                <w:kern w:val="15"/>
                <w:szCs w:val="21"/>
              </w:rPr>
              <w:t>《锡</w:t>
            </w:r>
            <w:r>
              <w:rPr>
                <w:rFonts w:hint="eastAsia"/>
                <w:kern w:val="15"/>
                <w:szCs w:val="21"/>
              </w:rPr>
              <w:t>、</w:t>
            </w:r>
            <w:r>
              <w:rPr>
                <w:kern w:val="15"/>
                <w:szCs w:val="21"/>
              </w:rPr>
              <w:t>锑</w:t>
            </w:r>
            <w:r>
              <w:rPr>
                <w:rFonts w:hint="eastAsia"/>
                <w:kern w:val="15"/>
                <w:szCs w:val="21"/>
              </w:rPr>
              <w:t>、</w:t>
            </w:r>
            <w:r>
              <w:rPr>
                <w:kern w:val="15"/>
                <w:szCs w:val="21"/>
              </w:rPr>
              <w:t>汞工业污染排放标准》</w:t>
            </w:r>
          </w:p>
          <w:p>
            <w:pPr>
              <w:snapToGrid/>
              <w:ind w:firstLine="0" w:firstLineChars="0"/>
              <w:jc w:val="center"/>
              <w:rPr>
                <w:kern w:val="15"/>
                <w:szCs w:val="21"/>
              </w:rPr>
            </w:pPr>
            <w:r>
              <w:rPr>
                <w:kern w:val="15"/>
                <w:szCs w:val="21"/>
              </w:rPr>
              <w:t>GB 30770-2014</w:t>
            </w:r>
          </w:p>
        </w:tc>
        <w:tc>
          <w:tcPr>
            <w:tcW w:w="2834" w:type="dxa"/>
            <w:vMerge w:val="restart"/>
            <w:vAlign w:val="center"/>
          </w:tcPr>
          <w:p>
            <w:pPr>
              <w:snapToGrid/>
              <w:ind w:firstLine="0" w:firstLineChars="0"/>
              <w:jc w:val="center"/>
              <w:rPr>
                <w:kern w:val="15"/>
                <w:szCs w:val="21"/>
              </w:rPr>
            </w:pPr>
            <w:r>
              <w:rPr>
                <w:kern w:val="15"/>
                <w:szCs w:val="21"/>
              </w:rPr>
              <w:t>锡</w:t>
            </w:r>
            <w:r>
              <w:rPr>
                <w:rFonts w:hint="eastAsia"/>
                <w:kern w:val="15"/>
                <w:szCs w:val="21"/>
              </w:rPr>
              <w:t>、</w:t>
            </w:r>
            <w:r>
              <w:rPr>
                <w:kern w:val="15"/>
                <w:szCs w:val="21"/>
              </w:rPr>
              <w:t>锑</w:t>
            </w:r>
            <w:r>
              <w:rPr>
                <w:rFonts w:hint="eastAsia"/>
                <w:kern w:val="15"/>
                <w:szCs w:val="21"/>
              </w:rPr>
              <w:t>、</w:t>
            </w:r>
            <w:r>
              <w:rPr>
                <w:kern w:val="15"/>
                <w:szCs w:val="21"/>
              </w:rPr>
              <w:t>汞工业废水</w:t>
            </w:r>
          </w:p>
        </w:tc>
        <w:tc>
          <w:tcPr>
            <w:tcW w:w="1326" w:type="dxa"/>
            <w:vAlign w:val="center"/>
          </w:tcPr>
          <w:p>
            <w:pPr>
              <w:snapToGrid/>
              <w:ind w:firstLine="0" w:firstLineChars="0"/>
              <w:jc w:val="center"/>
              <w:rPr>
                <w:kern w:val="15"/>
                <w:szCs w:val="21"/>
              </w:rPr>
            </w:pPr>
            <w:r>
              <w:rPr>
                <w:kern w:val="15"/>
                <w:szCs w:val="21"/>
              </w:rPr>
              <w:t>0.3</w:t>
            </w:r>
            <w:r>
              <w:rPr>
                <w:kern w:val="15"/>
                <w:szCs w:val="21"/>
                <w:vertAlign w:val="superscript"/>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Merge w:val="continue"/>
            <w:vAlign w:val="center"/>
          </w:tcPr>
          <w:p>
            <w:pPr>
              <w:snapToGrid/>
              <w:ind w:firstLine="0" w:firstLineChars="0"/>
              <w:jc w:val="center"/>
              <w:rPr>
                <w:kern w:val="15"/>
                <w:szCs w:val="21"/>
              </w:rPr>
            </w:pPr>
          </w:p>
        </w:tc>
        <w:tc>
          <w:tcPr>
            <w:tcW w:w="2834" w:type="dxa"/>
            <w:vMerge w:val="continue"/>
            <w:vAlign w:val="center"/>
          </w:tcPr>
          <w:p>
            <w:pPr>
              <w:snapToGrid/>
              <w:ind w:firstLine="0" w:firstLineChars="0"/>
              <w:jc w:val="center"/>
              <w:rPr>
                <w:kern w:val="15"/>
                <w:szCs w:val="21"/>
              </w:rPr>
            </w:pPr>
          </w:p>
        </w:tc>
        <w:tc>
          <w:tcPr>
            <w:tcW w:w="1326" w:type="dxa"/>
            <w:vAlign w:val="center"/>
          </w:tcPr>
          <w:p>
            <w:pPr>
              <w:snapToGrid/>
              <w:ind w:firstLine="0" w:firstLineChars="0"/>
              <w:jc w:val="center"/>
              <w:rPr>
                <w:kern w:val="15"/>
                <w:szCs w:val="21"/>
              </w:rPr>
            </w:pPr>
            <w:r>
              <w:rPr>
                <w:kern w:val="15"/>
                <w:szCs w:val="21"/>
              </w:rPr>
              <w:t>1.0</w:t>
            </w:r>
            <w:r>
              <w:rPr>
                <w:kern w:val="15"/>
                <w:szCs w:val="21"/>
                <w:vertAlign w:val="superscript"/>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Merge w:val="restart"/>
            <w:vAlign w:val="center"/>
          </w:tcPr>
          <w:p>
            <w:pPr>
              <w:snapToGrid/>
              <w:ind w:firstLine="0" w:firstLineChars="0"/>
              <w:jc w:val="center"/>
              <w:rPr>
                <w:kern w:val="15"/>
                <w:szCs w:val="21"/>
              </w:rPr>
            </w:pPr>
            <w:r>
              <w:rPr>
                <w:kern w:val="15"/>
                <w:szCs w:val="21"/>
              </w:rPr>
              <w:t>《工业废水中锑污染物排放标准》DB 43/450-2007</w:t>
            </w:r>
          </w:p>
        </w:tc>
        <w:tc>
          <w:tcPr>
            <w:tcW w:w="2834" w:type="dxa"/>
            <w:vMerge w:val="restart"/>
            <w:vAlign w:val="center"/>
          </w:tcPr>
          <w:p>
            <w:pPr>
              <w:snapToGrid/>
              <w:ind w:firstLine="0" w:firstLineChars="0"/>
              <w:jc w:val="center"/>
              <w:rPr>
                <w:kern w:val="15"/>
                <w:szCs w:val="21"/>
              </w:rPr>
            </w:pPr>
            <w:r>
              <w:rPr>
                <w:kern w:val="15"/>
                <w:szCs w:val="21"/>
              </w:rPr>
              <w:t>锑工业废水</w:t>
            </w:r>
          </w:p>
        </w:tc>
        <w:tc>
          <w:tcPr>
            <w:tcW w:w="1326" w:type="dxa"/>
            <w:vAlign w:val="center"/>
          </w:tcPr>
          <w:p>
            <w:pPr>
              <w:snapToGrid/>
              <w:ind w:firstLine="0" w:firstLineChars="0"/>
              <w:jc w:val="center"/>
              <w:rPr>
                <w:kern w:val="15"/>
                <w:szCs w:val="21"/>
              </w:rPr>
            </w:pPr>
            <w:r>
              <w:rPr>
                <w:kern w:val="15"/>
                <w:szCs w:val="21"/>
              </w:rPr>
              <w:t>0.5</w:t>
            </w:r>
            <w:r>
              <w:rPr>
                <w:kern w:val="15"/>
                <w:szCs w:val="21"/>
                <w:vertAlign w:val="superscript"/>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Merge w:val="continue"/>
            <w:vAlign w:val="center"/>
          </w:tcPr>
          <w:p>
            <w:pPr>
              <w:snapToGrid/>
              <w:ind w:firstLine="0" w:firstLineChars="0"/>
              <w:jc w:val="center"/>
              <w:rPr>
                <w:kern w:val="15"/>
                <w:szCs w:val="21"/>
              </w:rPr>
            </w:pPr>
          </w:p>
        </w:tc>
        <w:tc>
          <w:tcPr>
            <w:tcW w:w="3935" w:type="dxa"/>
            <w:vMerge w:val="continue"/>
            <w:vAlign w:val="center"/>
          </w:tcPr>
          <w:p>
            <w:pPr>
              <w:snapToGrid/>
              <w:ind w:firstLine="0" w:firstLineChars="0"/>
              <w:jc w:val="center"/>
              <w:rPr>
                <w:kern w:val="15"/>
                <w:szCs w:val="21"/>
              </w:rPr>
            </w:pPr>
          </w:p>
        </w:tc>
        <w:tc>
          <w:tcPr>
            <w:tcW w:w="2834" w:type="dxa"/>
            <w:vMerge w:val="continue"/>
            <w:vAlign w:val="center"/>
          </w:tcPr>
          <w:p>
            <w:pPr>
              <w:snapToGrid/>
              <w:ind w:firstLine="0" w:firstLineChars="0"/>
              <w:jc w:val="center"/>
              <w:rPr>
                <w:kern w:val="15"/>
                <w:szCs w:val="21"/>
              </w:rPr>
            </w:pPr>
          </w:p>
        </w:tc>
        <w:tc>
          <w:tcPr>
            <w:tcW w:w="1326" w:type="dxa"/>
            <w:vAlign w:val="center"/>
          </w:tcPr>
          <w:p>
            <w:pPr>
              <w:snapToGrid/>
              <w:ind w:firstLine="0" w:firstLineChars="0"/>
              <w:jc w:val="center"/>
              <w:rPr>
                <w:kern w:val="15"/>
                <w:szCs w:val="21"/>
              </w:rPr>
            </w:pPr>
            <w:r>
              <w:rPr>
                <w:kern w:val="15"/>
                <w:szCs w:val="21"/>
              </w:rPr>
              <w:t>0.65</w:t>
            </w:r>
            <w:r>
              <w:rPr>
                <w:kern w:val="15"/>
                <w:szCs w:val="21"/>
                <w:vertAlign w:val="superscript"/>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Align w:val="center"/>
          </w:tcPr>
          <w:p>
            <w:pPr>
              <w:snapToGrid/>
              <w:ind w:firstLine="0" w:firstLineChars="0"/>
              <w:jc w:val="center"/>
              <w:rPr>
                <w:kern w:val="15"/>
                <w:szCs w:val="21"/>
              </w:rPr>
            </w:pPr>
            <w:r>
              <w:rPr>
                <w:kern w:val="15"/>
                <w:szCs w:val="21"/>
              </w:rPr>
              <w:t>美国</w:t>
            </w:r>
          </w:p>
        </w:tc>
        <w:tc>
          <w:tcPr>
            <w:tcW w:w="3935" w:type="dxa"/>
            <w:vAlign w:val="center"/>
          </w:tcPr>
          <w:p>
            <w:pPr>
              <w:snapToGrid/>
              <w:ind w:firstLine="0" w:firstLineChars="0"/>
              <w:jc w:val="center"/>
              <w:rPr>
                <w:kern w:val="15"/>
                <w:szCs w:val="21"/>
              </w:rPr>
            </w:pPr>
            <w:r>
              <w:rPr>
                <w:kern w:val="15"/>
                <w:szCs w:val="21"/>
              </w:rPr>
              <w:t>《自来水，你需要知道些什么》美国环境保护署；《Human Health Water Quality Criteria for Toxic Pollutants》</w:t>
            </w:r>
          </w:p>
        </w:tc>
        <w:tc>
          <w:tcPr>
            <w:tcW w:w="2834" w:type="dxa"/>
            <w:vAlign w:val="center"/>
          </w:tcPr>
          <w:p>
            <w:pPr>
              <w:snapToGrid/>
              <w:ind w:firstLine="0" w:firstLineChars="0"/>
              <w:jc w:val="center"/>
              <w:rPr>
                <w:kern w:val="15"/>
                <w:szCs w:val="21"/>
              </w:rPr>
            </w:pPr>
            <w:r>
              <w:rPr>
                <w:kern w:val="15"/>
                <w:szCs w:val="21"/>
              </w:rPr>
              <w:t>生活饮用水</w:t>
            </w:r>
          </w:p>
        </w:tc>
        <w:tc>
          <w:tcPr>
            <w:tcW w:w="1326" w:type="dxa"/>
            <w:vAlign w:val="center"/>
          </w:tcPr>
          <w:p>
            <w:pPr>
              <w:snapToGrid/>
              <w:ind w:firstLine="0" w:firstLineChars="0"/>
              <w:jc w:val="center"/>
              <w:rPr>
                <w:kern w:val="15"/>
                <w:szCs w:val="21"/>
              </w:rPr>
            </w:pPr>
            <w:r>
              <w:rPr>
                <w:kern w:val="15"/>
                <w:szCs w:val="21"/>
              </w:rPr>
              <w:t>0.006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Align w:val="center"/>
          </w:tcPr>
          <w:p>
            <w:pPr>
              <w:snapToGrid/>
              <w:ind w:firstLine="0" w:firstLineChars="0"/>
              <w:jc w:val="center"/>
              <w:rPr>
                <w:kern w:val="15"/>
                <w:szCs w:val="21"/>
              </w:rPr>
            </w:pPr>
            <w:r>
              <w:rPr>
                <w:kern w:val="15"/>
                <w:szCs w:val="21"/>
              </w:rPr>
              <w:t>欧盟</w:t>
            </w:r>
          </w:p>
        </w:tc>
        <w:tc>
          <w:tcPr>
            <w:tcW w:w="3935" w:type="dxa"/>
            <w:vAlign w:val="center"/>
          </w:tcPr>
          <w:p>
            <w:pPr>
              <w:snapToGrid/>
              <w:ind w:firstLine="0" w:firstLineChars="0"/>
              <w:jc w:val="center"/>
              <w:rPr>
                <w:kern w:val="15"/>
                <w:szCs w:val="21"/>
              </w:rPr>
            </w:pPr>
            <w:r>
              <w:rPr>
                <w:kern w:val="15"/>
                <w:szCs w:val="21"/>
              </w:rPr>
              <w:t>《Antimony in the environment: a review focused on natural waters: I. Occurrence》</w:t>
            </w:r>
          </w:p>
        </w:tc>
        <w:tc>
          <w:tcPr>
            <w:tcW w:w="2834" w:type="dxa"/>
            <w:vAlign w:val="center"/>
          </w:tcPr>
          <w:p>
            <w:pPr>
              <w:snapToGrid/>
              <w:ind w:firstLine="0" w:firstLineChars="0"/>
              <w:jc w:val="center"/>
              <w:rPr>
                <w:kern w:val="15"/>
                <w:szCs w:val="21"/>
              </w:rPr>
            </w:pPr>
            <w:r>
              <w:rPr>
                <w:kern w:val="15"/>
                <w:szCs w:val="21"/>
              </w:rPr>
              <w:t>生活饮用水</w:t>
            </w:r>
          </w:p>
        </w:tc>
        <w:tc>
          <w:tcPr>
            <w:tcW w:w="1326" w:type="dxa"/>
            <w:vAlign w:val="center"/>
          </w:tcPr>
          <w:p>
            <w:pPr>
              <w:snapToGrid/>
              <w:ind w:firstLine="0" w:firstLineChars="0"/>
              <w:jc w:val="center"/>
              <w:rPr>
                <w:kern w:val="15"/>
                <w:szCs w:val="21"/>
              </w:rPr>
            </w:pPr>
            <w:r>
              <w:rPr>
                <w:kern w:val="15"/>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Align w:val="center"/>
          </w:tcPr>
          <w:p>
            <w:pPr>
              <w:snapToGrid/>
              <w:ind w:firstLine="0" w:firstLineChars="0"/>
              <w:jc w:val="center"/>
              <w:rPr>
                <w:kern w:val="15"/>
                <w:szCs w:val="21"/>
              </w:rPr>
            </w:pPr>
            <w:r>
              <w:rPr>
                <w:kern w:val="15"/>
                <w:szCs w:val="21"/>
              </w:rPr>
              <w:t>德国</w:t>
            </w:r>
          </w:p>
        </w:tc>
        <w:tc>
          <w:tcPr>
            <w:tcW w:w="3935" w:type="dxa"/>
            <w:vAlign w:val="center"/>
          </w:tcPr>
          <w:p>
            <w:pPr>
              <w:snapToGrid/>
              <w:ind w:firstLine="0" w:firstLineChars="0"/>
              <w:jc w:val="center"/>
              <w:rPr>
                <w:kern w:val="15"/>
                <w:szCs w:val="21"/>
              </w:rPr>
            </w:pPr>
            <w:r>
              <w:rPr>
                <w:kern w:val="15"/>
                <w:szCs w:val="21"/>
              </w:rPr>
              <w:t>《蓝藻对锑的生物吸附与解吸行为研究》</w:t>
            </w:r>
          </w:p>
        </w:tc>
        <w:tc>
          <w:tcPr>
            <w:tcW w:w="2834" w:type="dxa"/>
            <w:vAlign w:val="center"/>
          </w:tcPr>
          <w:p>
            <w:pPr>
              <w:snapToGrid/>
              <w:ind w:firstLine="0" w:firstLineChars="0"/>
              <w:jc w:val="center"/>
              <w:rPr>
                <w:kern w:val="15"/>
                <w:szCs w:val="21"/>
              </w:rPr>
            </w:pPr>
            <w:r>
              <w:rPr>
                <w:kern w:val="15"/>
                <w:szCs w:val="21"/>
              </w:rPr>
              <w:t>生活饮用水</w:t>
            </w:r>
          </w:p>
        </w:tc>
        <w:tc>
          <w:tcPr>
            <w:tcW w:w="1326" w:type="dxa"/>
            <w:vAlign w:val="center"/>
          </w:tcPr>
          <w:p>
            <w:pPr>
              <w:snapToGrid/>
              <w:ind w:firstLine="0" w:firstLineChars="0"/>
              <w:jc w:val="center"/>
              <w:rPr>
                <w:kern w:val="15"/>
                <w:szCs w:val="21"/>
              </w:rPr>
            </w:pPr>
            <w:r>
              <w:rPr>
                <w:kern w:val="15"/>
                <w:szCs w:val="21"/>
              </w:rPr>
              <w:t>0.005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vAlign w:val="center"/>
          </w:tcPr>
          <w:p>
            <w:pPr>
              <w:snapToGrid/>
              <w:ind w:firstLine="0" w:firstLineChars="0"/>
              <w:jc w:val="center"/>
              <w:rPr>
                <w:kern w:val="15"/>
                <w:szCs w:val="21"/>
              </w:rPr>
            </w:pPr>
            <w:r>
              <w:rPr>
                <w:kern w:val="15"/>
                <w:szCs w:val="21"/>
              </w:rPr>
              <w:t>韩国</w:t>
            </w:r>
          </w:p>
        </w:tc>
        <w:tc>
          <w:tcPr>
            <w:tcW w:w="3935" w:type="dxa"/>
            <w:vAlign w:val="center"/>
          </w:tcPr>
          <w:p>
            <w:pPr>
              <w:snapToGrid/>
              <w:ind w:firstLine="0" w:firstLineChars="0"/>
              <w:jc w:val="center"/>
              <w:rPr>
                <w:kern w:val="15"/>
                <w:szCs w:val="21"/>
              </w:rPr>
            </w:pPr>
            <w:r>
              <w:rPr>
                <w:kern w:val="15"/>
                <w:szCs w:val="21"/>
              </w:rPr>
              <w:t>《韩国地表水水质标准研究与启示》</w:t>
            </w:r>
          </w:p>
        </w:tc>
        <w:tc>
          <w:tcPr>
            <w:tcW w:w="2834" w:type="dxa"/>
            <w:vAlign w:val="center"/>
          </w:tcPr>
          <w:p>
            <w:pPr>
              <w:snapToGrid/>
              <w:ind w:firstLine="0" w:firstLineChars="0"/>
              <w:jc w:val="center"/>
              <w:rPr>
                <w:kern w:val="15"/>
                <w:szCs w:val="21"/>
              </w:rPr>
            </w:pPr>
            <w:r>
              <w:rPr>
                <w:kern w:val="15"/>
                <w:szCs w:val="21"/>
              </w:rPr>
              <w:t>地表水</w:t>
            </w:r>
          </w:p>
        </w:tc>
        <w:tc>
          <w:tcPr>
            <w:tcW w:w="1326" w:type="dxa"/>
            <w:vAlign w:val="center"/>
          </w:tcPr>
          <w:p>
            <w:pPr>
              <w:snapToGrid/>
              <w:ind w:firstLine="0" w:firstLineChars="0"/>
              <w:jc w:val="center"/>
              <w:rPr>
                <w:kern w:val="15"/>
                <w:szCs w:val="21"/>
              </w:rPr>
            </w:pPr>
            <w:r>
              <w:rPr>
                <w:kern w:val="15"/>
                <w:szCs w:val="21"/>
              </w:rPr>
              <w:t>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rPr>
          <w:cantSplit/>
          <w:trHeight w:val="113" w:hRule="atLeast"/>
          <w:jc w:val="center"/>
        </w:trPr>
        <w:tc>
          <w:tcPr>
            <w:tcW w:w="427" w:type="dxa"/>
            <w:tcBorders>
              <w:bottom w:val="single" w:color="auto" w:sz="4" w:space="0"/>
            </w:tcBorders>
            <w:vAlign w:val="center"/>
          </w:tcPr>
          <w:p>
            <w:pPr>
              <w:snapToGrid/>
              <w:ind w:firstLine="0" w:firstLineChars="0"/>
              <w:jc w:val="center"/>
              <w:rPr>
                <w:kern w:val="15"/>
                <w:szCs w:val="21"/>
              </w:rPr>
            </w:pPr>
            <w:r>
              <w:rPr>
                <w:kern w:val="15"/>
                <w:szCs w:val="21"/>
              </w:rPr>
              <w:t>日本</w:t>
            </w:r>
          </w:p>
        </w:tc>
        <w:tc>
          <w:tcPr>
            <w:tcW w:w="3935" w:type="dxa"/>
            <w:tcBorders>
              <w:bottom w:val="single" w:color="auto" w:sz="4" w:space="0"/>
            </w:tcBorders>
            <w:vAlign w:val="center"/>
          </w:tcPr>
          <w:p>
            <w:pPr>
              <w:snapToGrid/>
              <w:ind w:firstLine="0" w:firstLineChars="0"/>
              <w:jc w:val="center"/>
              <w:rPr>
                <w:kern w:val="15"/>
                <w:szCs w:val="21"/>
              </w:rPr>
            </w:pPr>
            <w:r>
              <w:rPr>
                <w:kern w:val="15"/>
                <w:szCs w:val="21"/>
              </w:rPr>
              <w:t>《有色金属工业污染物排放国家</w:t>
            </w:r>
          </w:p>
          <w:p>
            <w:pPr>
              <w:snapToGrid/>
              <w:ind w:firstLine="0" w:firstLineChars="0"/>
              <w:jc w:val="center"/>
              <w:rPr>
                <w:kern w:val="15"/>
                <w:szCs w:val="21"/>
              </w:rPr>
            </w:pPr>
            <w:r>
              <w:rPr>
                <w:kern w:val="15"/>
                <w:szCs w:val="21"/>
              </w:rPr>
              <w:t>标准-锑》的研究</w:t>
            </w:r>
          </w:p>
        </w:tc>
        <w:tc>
          <w:tcPr>
            <w:tcW w:w="2834" w:type="dxa"/>
            <w:tcBorders>
              <w:bottom w:val="single" w:color="auto" w:sz="4" w:space="0"/>
            </w:tcBorders>
            <w:vAlign w:val="center"/>
          </w:tcPr>
          <w:p>
            <w:pPr>
              <w:snapToGrid/>
              <w:ind w:firstLine="0" w:firstLineChars="0"/>
              <w:jc w:val="center"/>
              <w:rPr>
                <w:kern w:val="15"/>
                <w:szCs w:val="21"/>
              </w:rPr>
            </w:pPr>
            <w:r>
              <w:rPr>
                <w:kern w:val="15"/>
                <w:szCs w:val="21"/>
              </w:rPr>
              <w:t>生活饮用水</w:t>
            </w:r>
          </w:p>
        </w:tc>
        <w:tc>
          <w:tcPr>
            <w:tcW w:w="1326" w:type="dxa"/>
            <w:tcBorders>
              <w:bottom w:val="single" w:color="auto" w:sz="4" w:space="0"/>
            </w:tcBorders>
            <w:vAlign w:val="center"/>
          </w:tcPr>
          <w:p>
            <w:pPr>
              <w:snapToGrid/>
              <w:ind w:firstLine="0" w:firstLineChars="0"/>
              <w:jc w:val="center"/>
              <w:rPr>
                <w:kern w:val="15"/>
                <w:szCs w:val="21"/>
              </w:rPr>
            </w:pPr>
            <w:r>
              <w:rPr>
                <w:kern w:val="15"/>
                <w:szCs w:val="21"/>
              </w:rPr>
              <w:t>0.002</w:t>
            </w:r>
          </w:p>
        </w:tc>
      </w:tr>
    </w:tbl>
    <w:p>
      <w:pPr>
        <w:ind w:firstLine="0" w:firstLineChars="0"/>
        <w:rPr>
          <w:sz w:val="20"/>
        </w:rPr>
      </w:pPr>
      <w:r>
        <w:rPr>
          <w:sz w:val="20"/>
        </w:rPr>
        <w:t>注：a 2016年1月1日起，现有企业执行标准；2014年7月1日起，新建企业执行标准；</w:t>
      </w:r>
    </w:p>
    <w:p>
      <w:pPr>
        <w:ind w:firstLine="400"/>
        <w:rPr>
          <w:sz w:val="20"/>
        </w:rPr>
      </w:pPr>
      <w:r>
        <w:rPr>
          <w:sz w:val="20"/>
        </w:rPr>
        <w:t>b 2015年1月1日至2015年12月31日止，现行企业执行标准；</w:t>
      </w:r>
    </w:p>
    <w:p>
      <w:pPr>
        <w:ind w:firstLine="400"/>
        <w:rPr>
          <w:sz w:val="20"/>
        </w:rPr>
      </w:pPr>
      <w:r>
        <w:rPr>
          <w:sz w:val="20"/>
        </w:rPr>
        <w:t>c该标准发布之日起新建生产线执行标准；</w:t>
      </w:r>
    </w:p>
    <w:p>
      <w:pPr>
        <w:ind w:firstLine="400"/>
        <w:rPr>
          <w:sz w:val="20"/>
        </w:rPr>
      </w:pPr>
      <w:r>
        <w:rPr>
          <w:sz w:val="20"/>
        </w:rPr>
        <w:t>d该标准实施之日前已有生产线执行标准。</w:t>
      </w:r>
    </w:p>
    <w:p>
      <w:pPr>
        <w:pStyle w:val="2"/>
      </w:pPr>
      <w:bookmarkStart w:id="70" w:name="_Toc505420240"/>
      <w:bookmarkStart w:id="71" w:name="_Toc468455283"/>
      <w:r>
        <w:t>8 实施本标准的环境效益及经济技术分析</w:t>
      </w:r>
      <w:bookmarkEnd w:id="61"/>
      <w:bookmarkEnd w:id="70"/>
      <w:bookmarkEnd w:id="71"/>
    </w:p>
    <w:bookmarkEnd w:id="39"/>
    <w:bookmarkEnd w:id="40"/>
    <w:bookmarkEnd w:id="62"/>
    <w:p>
      <w:pPr>
        <w:pStyle w:val="3"/>
      </w:pPr>
      <w:bookmarkStart w:id="72" w:name="_Toc429261726"/>
      <w:bookmarkStart w:id="73" w:name="_Toc445626960"/>
      <w:bookmarkStart w:id="74" w:name="_Toc468455284"/>
      <w:bookmarkStart w:id="75" w:name="_Toc505420241"/>
      <w:r>
        <w:t>8.1</w:t>
      </w:r>
      <w:r>
        <w:rPr>
          <w:rFonts w:hint="eastAsia"/>
        </w:rPr>
        <w:t xml:space="preserve"> </w:t>
      </w:r>
      <w:r>
        <w:t>实施本标准的环境（减排）效益</w:t>
      </w:r>
      <w:bookmarkEnd w:id="72"/>
      <w:bookmarkEnd w:id="73"/>
      <w:bookmarkEnd w:id="74"/>
      <w:bookmarkEnd w:id="75"/>
    </w:p>
    <w:p>
      <w:pPr>
        <w:snapToGrid/>
        <w:ind w:firstLine="420"/>
      </w:pPr>
      <w:bookmarkStart w:id="76" w:name="_Toc429261727"/>
      <w:bookmarkStart w:id="77" w:name="_Toc445626961"/>
      <w:r>
        <w:rPr>
          <w:rFonts w:hint="eastAsia"/>
        </w:rPr>
        <w:t>以太湖流域</w:t>
      </w:r>
      <w:r>
        <w:t>纺织染整工业含锑废水排放量16</w:t>
      </w:r>
      <w:r>
        <w:rPr>
          <w:rFonts w:hint="eastAsia"/>
        </w:rPr>
        <w:t>万</w:t>
      </w:r>
      <w:r>
        <w:t>吨/天为例，</w:t>
      </w:r>
      <w:r>
        <w:rPr>
          <w:rFonts w:hint="eastAsia"/>
        </w:rPr>
        <w:t>若从1</w:t>
      </w:r>
      <w:r>
        <w:t>00ug</w:t>
      </w:r>
      <w:r>
        <w:rPr>
          <w:rFonts w:hint="eastAsia"/>
        </w:rPr>
        <w:t>/</w:t>
      </w:r>
      <w:r>
        <w:t>l</w:t>
      </w:r>
      <w:r>
        <w:rPr>
          <w:rFonts w:hint="eastAsia"/>
        </w:rPr>
        <w:t>提标至8</w:t>
      </w:r>
      <w:r>
        <w:t>0</w:t>
      </w:r>
      <w:r>
        <w:rPr>
          <w:rFonts w:hint="eastAsia"/>
        </w:rPr>
        <w:t>ug</w:t>
      </w:r>
      <w:r>
        <w:t>/l</w:t>
      </w:r>
      <w:r>
        <w:rPr>
          <w:rFonts w:hint="eastAsia"/>
        </w:rPr>
        <w:t>，</w:t>
      </w:r>
      <w:r>
        <w:t>每年可减少锑元素排放量</w:t>
      </w:r>
      <w:r>
        <w:rPr>
          <w:rFonts w:hint="eastAsia"/>
        </w:rPr>
        <w:t>1</w:t>
      </w:r>
      <w:r>
        <w:t>.17</w:t>
      </w:r>
      <w:r>
        <w:rPr>
          <w:rFonts w:hint="eastAsia"/>
        </w:rPr>
        <w:t>吨</w:t>
      </w:r>
      <w:r>
        <w:t>。</w:t>
      </w:r>
    </w:p>
    <w:p>
      <w:pPr>
        <w:snapToGrid/>
        <w:ind w:firstLine="420"/>
      </w:pPr>
      <w:r>
        <w:t>目前纺织染整工业废水中锑污染物国家排放标准较为宽松，纺织染整企业在环保设施设计、建设及运营过程中对锑的污染治理目标不够严格，环保执法监督部门对废水中锑污染物的日常监管也缺乏更为有力的标准作为停产、限产和处罚等措施的法律依据，从而使地表水中锑污染物浓度超标情况时有发生，并常常威胁到饮用水安全。</w:t>
      </w:r>
    </w:p>
    <w:p>
      <w:pPr>
        <w:snapToGrid/>
        <w:ind w:firstLine="420"/>
      </w:pPr>
      <w:r>
        <w:t>本标准实施后，纺织染整行业含锑废水执行更为严格的排放标准，可显著减少锑污染物的排放量，从而改善水体水质，保障饮用水安全，具有十分显著的社会效益。</w:t>
      </w:r>
    </w:p>
    <w:p>
      <w:pPr>
        <w:pStyle w:val="3"/>
      </w:pPr>
      <w:bookmarkStart w:id="78" w:name="_Toc468455285"/>
      <w:bookmarkStart w:id="79" w:name="_Toc505420242"/>
      <w:r>
        <w:t>8.2</w:t>
      </w:r>
      <w:r>
        <w:rPr>
          <w:rFonts w:hint="eastAsia"/>
        </w:rPr>
        <w:t xml:space="preserve"> </w:t>
      </w:r>
      <w:r>
        <w:t>实施本标准的经济技术分析</w:t>
      </w:r>
      <w:bookmarkEnd w:id="76"/>
      <w:bookmarkEnd w:id="77"/>
      <w:bookmarkEnd w:id="78"/>
      <w:bookmarkEnd w:id="79"/>
    </w:p>
    <w:p>
      <w:pPr>
        <w:snapToGrid/>
        <w:ind w:firstLine="420"/>
      </w:pPr>
      <w:r>
        <w:t>目前纺织染整工业废水中锑污染的处理方法中，化学沉淀法的因处理效率较高，技术可行性好而应用较广，可以通过投加铁盐和铝盐、化学试剂和调节pH值等达到沉淀去除锑的目的。铁盐和铝盐是两种最常用的混凝剂，其在水解及聚合过程中产生了各种不同的络合物交联体和胶态氢氧化物的聚合体，因而具有较强的吸附、粘结和沉降能力，最终达到良好的混凝效果。但是在实际应用中，铝盐在水中形成的絮凝产物沉淀性能较差，而且铝离子有毒，易溶于水中造成二次污染，去除效果不如铁盐好。</w:t>
      </w:r>
    </w:p>
    <w:p>
      <w:pPr>
        <w:snapToGrid/>
        <w:ind w:firstLine="420"/>
      </w:pPr>
      <w:r>
        <w:t>根据工程实例，企业在废水预处理时投加铁盐并且采用高低浓度废水分质处理的方法可对锑有较好的处理效果，具体情况如下：</w:t>
      </w:r>
    </w:p>
    <w:p>
      <w:pPr>
        <w:snapToGrid/>
        <w:ind w:firstLine="420"/>
      </w:pPr>
      <w:r>
        <w:t>将锑含量以300 μg/L为界限，高浓度部分采取“酸析+聚铁”工艺，低浓度废水采取气浮物化工艺。高浓度指锑含量&gt;300 μg/L，此类废水必须分质处理，其中锑含量较高的碱减量、退浆等工段产生的废水采取“酸析+聚铁”工艺单独处理。</w:t>
      </w:r>
    </w:p>
    <w:p>
      <w:pPr>
        <w:widowControl/>
        <w:snapToGrid/>
        <w:ind w:firstLine="0" w:firstLineChars="0"/>
        <w:jc w:val="center"/>
        <w:rPr>
          <w:kern w:val="2"/>
          <w:sz w:val="18"/>
          <w:szCs w:val="22"/>
        </w:rPr>
      </w:pPr>
      <w:r>
        <w:rPr>
          <w:rFonts w:eastAsia="黑体"/>
          <w:iCs/>
        </w:rPr>
        <w:t>表13  高浓度含锑废水处理情况</w:t>
      </w:r>
      <w:r>
        <w:rPr>
          <w:rFonts w:hint="eastAsia" w:eastAsia="黑体"/>
          <w:iCs/>
        </w:rPr>
        <w:t>（</w:t>
      </w:r>
      <w:r>
        <w:rPr>
          <w:rFonts w:eastAsia="黑体"/>
          <w:iCs/>
        </w:rPr>
        <w:t>单位：μg/L</w:t>
      </w:r>
      <w:r>
        <w:rPr>
          <w:rFonts w:hint="eastAsia" w:eastAsia="黑体"/>
          <w:iCs/>
        </w:rPr>
        <w:t>）</w:t>
      </w:r>
    </w:p>
    <w:tbl>
      <w:tblPr>
        <w:tblStyle w:val="34"/>
        <w:tblW w:w="83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1040"/>
        <w:gridCol w:w="2420"/>
        <w:gridCol w:w="2420"/>
        <w:gridCol w:w="24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序号</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szCs w:val="21"/>
              </w:rPr>
              <w:t>调节池</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rFonts w:hint="eastAsia"/>
                <w:szCs w:val="21"/>
              </w:rPr>
              <w:t>酸</w:t>
            </w:r>
            <w:r>
              <w:rPr>
                <w:szCs w:val="21"/>
              </w:rPr>
              <w:t>析</w:t>
            </w:r>
            <w:r>
              <w:rPr>
                <w:rFonts w:hint="eastAsia"/>
                <w:szCs w:val="21"/>
              </w:rPr>
              <w:t>+聚铁</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rFonts w:hint="eastAsia"/>
                <w:szCs w:val="21"/>
              </w:rPr>
              <w:t>酸</w:t>
            </w:r>
            <w:r>
              <w:rPr>
                <w:szCs w:val="21"/>
              </w:rPr>
              <w:t>析</w:t>
            </w:r>
            <w:r>
              <w:rPr>
                <w:rFonts w:hint="eastAsia"/>
                <w:szCs w:val="21"/>
              </w:rPr>
              <w:t>+聚铁</w:t>
            </w:r>
            <w:r>
              <w:rPr>
                <w:szCs w:val="21"/>
              </w:rPr>
              <w:t>去除率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1</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1445</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356</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75.36%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2</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884</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200</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77.38%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3</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722</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189</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73.82%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平均</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1017</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248</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75.52%</w:t>
            </w:r>
          </w:p>
        </w:tc>
      </w:tr>
    </w:tbl>
    <w:p>
      <w:pPr>
        <w:snapToGrid/>
        <w:ind w:firstLine="420"/>
      </w:pPr>
      <w:r>
        <w:rPr>
          <w:rFonts w:hint="eastAsia"/>
        </w:rPr>
        <w:t>低浓度废水锑含量</w:t>
      </w:r>
      <w:r>
        <w:t>&lt;300 μg/L</w:t>
      </w:r>
      <w:r>
        <w:rPr>
          <w:rFonts w:hint="eastAsia"/>
        </w:rPr>
        <w:t>，采取气浮物化工艺。</w:t>
      </w:r>
    </w:p>
    <w:p>
      <w:pPr>
        <w:widowControl/>
        <w:snapToGrid/>
        <w:ind w:firstLine="0" w:firstLineChars="0"/>
        <w:jc w:val="center"/>
        <w:rPr>
          <w:rFonts w:eastAsia="黑体"/>
          <w:iCs/>
        </w:rPr>
      </w:pPr>
      <w:r>
        <w:rPr>
          <w:rFonts w:eastAsia="黑体"/>
          <w:iCs/>
        </w:rPr>
        <w:t>表14  低浓度含锑废水处理情况</w:t>
      </w:r>
      <w:r>
        <w:rPr>
          <w:rFonts w:hint="eastAsia" w:eastAsia="黑体"/>
          <w:iCs/>
        </w:rPr>
        <w:t>（</w:t>
      </w:r>
      <w:r>
        <w:rPr>
          <w:rFonts w:eastAsia="黑体"/>
          <w:iCs/>
        </w:rPr>
        <w:t>单位：μg/L</w:t>
      </w:r>
      <w:r>
        <w:rPr>
          <w:rFonts w:hint="eastAsia" w:eastAsia="黑体"/>
          <w:iCs/>
        </w:rPr>
        <w:t>）</w:t>
      </w:r>
    </w:p>
    <w:tbl>
      <w:tblPr>
        <w:tblStyle w:val="34"/>
        <w:tblW w:w="83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1040"/>
        <w:gridCol w:w="2420"/>
        <w:gridCol w:w="2420"/>
        <w:gridCol w:w="24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single" w:color="auto" w:sz="4" w:space="0"/>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序号</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szCs w:val="21"/>
              </w:rPr>
              <w:t>调节池</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szCs w:val="21"/>
              </w:rPr>
              <w:t>气浮出水</w:t>
            </w:r>
          </w:p>
        </w:tc>
        <w:tc>
          <w:tcPr>
            <w:tcW w:w="2420" w:type="dxa"/>
            <w:tcBorders>
              <w:top w:val="single" w:color="auto" w:sz="4" w:space="0"/>
              <w:left w:val="nil"/>
              <w:bottom w:val="single" w:color="auto" w:sz="4" w:space="0"/>
              <w:right w:val="single" w:color="auto" w:sz="4" w:space="0"/>
            </w:tcBorders>
            <w:vAlign w:val="center"/>
          </w:tcPr>
          <w:p>
            <w:pPr>
              <w:widowControl/>
              <w:ind w:firstLine="0" w:firstLineChars="0"/>
              <w:jc w:val="center"/>
              <w:rPr>
                <w:szCs w:val="21"/>
              </w:rPr>
            </w:pPr>
            <w:r>
              <w:rPr>
                <w:szCs w:val="21"/>
              </w:rPr>
              <w:t>气浮去除率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1</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235</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113</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51.9%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2</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204</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101</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50.49%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3</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241</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104</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56.85%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0" w:hRule="atLeast"/>
        </w:trPr>
        <w:tc>
          <w:tcPr>
            <w:tcW w:w="1040" w:type="dxa"/>
            <w:tcBorders>
              <w:top w:val="nil"/>
              <w:left w:val="single" w:color="auto" w:sz="4" w:space="0"/>
              <w:bottom w:val="single" w:color="auto" w:sz="4" w:space="0"/>
              <w:right w:val="single" w:color="auto" w:sz="4" w:space="0"/>
            </w:tcBorders>
            <w:vAlign w:val="center"/>
          </w:tcPr>
          <w:p>
            <w:pPr>
              <w:widowControl/>
              <w:ind w:firstLine="0" w:firstLineChars="0"/>
              <w:jc w:val="center"/>
              <w:rPr>
                <w:szCs w:val="21"/>
              </w:rPr>
            </w:pPr>
            <w:r>
              <w:rPr>
                <w:szCs w:val="21"/>
              </w:rPr>
              <w:t>平均</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227</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106</w:t>
            </w:r>
          </w:p>
        </w:tc>
        <w:tc>
          <w:tcPr>
            <w:tcW w:w="2420" w:type="dxa"/>
            <w:tcBorders>
              <w:top w:val="nil"/>
              <w:left w:val="nil"/>
              <w:bottom w:val="single" w:color="auto" w:sz="4" w:space="0"/>
              <w:right w:val="single" w:color="auto" w:sz="4" w:space="0"/>
            </w:tcBorders>
            <w:vAlign w:val="center"/>
          </w:tcPr>
          <w:p>
            <w:pPr>
              <w:widowControl/>
              <w:ind w:firstLine="0" w:firstLineChars="0"/>
              <w:jc w:val="center"/>
              <w:rPr>
                <w:szCs w:val="21"/>
              </w:rPr>
            </w:pPr>
            <w:r>
              <w:rPr>
                <w:szCs w:val="21"/>
              </w:rPr>
              <w:t>53.08%</w:t>
            </w:r>
          </w:p>
        </w:tc>
      </w:tr>
    </w:tbl>
    <w:p>
      <w:pPr>
        <w:snapToGrid/>
        <w:ind w:firstLine="420"/>
      </w:pPr>
      <w:r>
        <w:t>通过聚合硫酸铁混凝沉淀锑污染物处理工艺带来的成本增加主要有如下几个方面：</w:t>
      </w:r>
    </w:p>
    <w:p>
      <w:pPr>
        <w:snapToGrid/>
        <w:ind w:firstLine="420"/>
      </w:pPr>
      <w:r>
        <w:t>一是</w:t>
      </w:r>
      <w:r>
        <w:rPr>
          <w:rFonts w:hint="eastAsia"/>
        </w:rPr>
        <w:t>药剂费用</w:t>
      </w:r>
      <w:r>
        <w:t>。因聚合硫酸铁价格高于一般纺织染整废水处理所用的混凝剂聚合氯化铝，且处理锑污染物时添加的量也有小幅的增加，一般情况下使用聚合硫酸铁作为混凝剂处理纺织染整废水的运行成本大约会上升0.02元/吨，以每天产生的废水量为1000吨/天来计算，处理费用</w:t>
      </w:r>
      <w:r>
        <w:rPr>
          <w:rFonts w:hint="eastAsia"/>
        </w:rPr>
        <w:t>约</w:t>
      </w:r>
      <w:r>
        <w:t>增加20元/天。</w:t>
      </w:r>
    </w:p>
    <w:p>
      <w:pPr>
        <w:snapToGrid/>
        <w:ind w:firstLine="420"/>
      </w:pPr>
      <w:r>
        <w:t>二是污泥</w:t>
      </w:r>
      <w:r>
        <w:rPr>
          <w:rFonts w:hint="eastAsia"/>
        </w:rPr>
        <w:t>处理费用</w:t>
      </w:r>
      <w:r>
        <w:t>。添加聚合硫酸铁后，污泥数量增加且压滤难度较大</w:t>
      </w:r>
      <w:r>
        <w:rPr>
          <w:rFonts w:hint="eastAsia"/>
        </w:rPr>
        <w:t>，将</w:t>
      </w:r>
      <w:r>
        <w:t>加快现有压滤设备损耗，但由于压滤机为一次性投资，对多数企业和污水处理厂而言投资额在可接受范围内。</w:t>
      </w:r>
    </w:p>
    <w:p>
      <w:pPr>
        <w:snapToGrid/>
        <w:ind w:firstLine="420"/>
      </w:pPr>
      <w:r>
        <w:t>因此，本标准实施在经济上也是可行的。</w:t>
      </w:r>
    </w:p>
    <w:p>
      <w:pPr>
        <w:pStyle w:val="2"/>
      </w:pPr>
      <w:bookmarkStart w:id="80" w:name="_Toc468455286"/>
      <w:bookmarkStart w:id="81" w:name="_Toc505420243"/>
      <w:r>
        <w:t>9 对实施本标准的建议</w:t>
      </w:r>
      <w:bookmarkEnd w:id="80"/>
      <w:bookmarkEnd w:id="81"/>
    </w:p>
    <w:p>
      <w:pPr>
        <w:snapToGrid/>
        <w:ind w:firstLine="420"/>
      </w:pPr>
      <w:r>
        <w:t>本标准由县级以上环境保护主管部门负责监督实施。在任何情况下，企业均应遵守本标准的污染物排放控制要求，采取必要措施保证污染防治设施的正常运行。各级环保部门在对企业进行监督性检查时，可以采用现场即时采样或监测的结果，作为判定排污行为是否符合排放标准以及实施相关环境保护管理措施的依据。在发现设施耗水或排水量有异常变化的情况下，应核定企业的实际产品产量和排水量，按本标准的规定，将实测水污染物浓度换算为水污染物基准排水量排放浓度后进行考核。</w:t>
      </w:r>
    </w:p>
    <w:p>
      <w:pPr>
        <w:snapToGrid/>
        <w:ind w:firstLine="420"/>
      </w:pPr>
      <w:r>
        <w:t>从标准制定的研究来看，国内专门针对纺织染整行业制定锑污染物的地方排放标准尚属首例，建议加强此方面研究。此外，单靠末端治理技术想要达到相关的污染物排放要求，必然给企业带来较大的环保负担，因此，建议企业积极推行清洁生产措施，从源头上</w:t>
      </w:r>
      <w:r>
        <w:rPr>
          <w:rFonts w:hint="eastAsia"/>
        </w:rPr>
        <w:t>控制含锑原料丝的使用，从而</w:t>
      </w:r>
      <w:r>
        <w:t>减轻</w:t>
      </w:r>
      <w:r>
        <w:rPr>
          <w:rFonts w:hint="eastAsia"/>
        </w:rPr>
        <w:t>纺织染整</w:t>
      </w:r>
      <w:r>
        <w:t>行业</w:t>
      </w:r>
      <w:r>
        <w:rPr>
          <w:rFonts w:hint="eastAsia"/>
        </w:rPr>
        <w:t>控制锑</w:t>
      </w:r>
      <w:r>
        <w:t>污染</w:t>
      </w:r>
      <w:r>
        <w:rPr>
          <w:rFonts w:hint="eastAsia"/>
        </w:rPr>
        <w:t>的压力</w:t>
      </w:r>
      <w:r>
        <w:t>。</w:t>
      </w:r>
    </w:p>
    <w:p>
      <w:pPr>
        <w:snapToGrid/>
        <w:ind w:firstLine="420"/>
      </w:pPr>
    </w:p>
    <w:p>
      <w:pPr>
        <w:pStyle w:val="2"/>
      </w:pPr>
      <w:bookmarkStart w:id="82" w:name="_Toc504052069"/>
      <w:bookmarkStart w:id="83" w:name="_Toc504052222"/>
      <w:bookmarkStart w:id="84" w:name="_Toc505420244"/>
      <w:bookmarkStart w:id="85" w:name="_Hlk505418969"/>
      <w:r>
        <w:rPr>
          <w:rFonts w:hint="eastAsia"/>
        </w:rPr>
        <w:t>10</w:t>
      </w:r>
      <w:r>
        <w:t xml:space="preserve"> </w:t>
      </w:r>
      <w:r>
        <w:rPr>
          <w:rFonts w:hint="eastAsia"/>
        </w:rPr>
        <w:t>标准征求意见情况</w:t>
      </w:r>
      <w:bookmarkEnd w:id="82"/>
      <w:bookmarkEnd w:id="83"/>
      <w:bookmarkEnd w:id="84"/>
    </w:p>
    <w:p>
      <w:pPr>
        <w:snapToGrid/>
        <w:ind w:firstLine="420"/>
        <w:rPr>
          <w:szCs w:val="21"/>
          <w:highlight w:val="yellow"/>
        </w:rPr>
      </w:pPr>
      <w:r>
        <w:rPr>
          <w:szCs w:val="21"/>
        </w:rPr>
        <w:t>2017年4月，标准编制组</w:t>
      </w:r>
      <w:r>
        <w:rPr>
          <w:rFonts w:hint="eastAsia"/>
          <w:szCs w:val="21"/>
        </w:rPr>
        <w:t>征求了环保部、上海</w:t>
      </w:r>
      <w:r>
        <w:rPr>
          <w:szCs w:val="21"/>
        </w:rPr>
        <w:t>、浙江、安徽等省环保厅、</w:t>
      </w:r>
      <w:r>
        <w:rPr>
          <w:rFonts w:hint="eastAsia"/>
          <w:szCs w:val="21"/>
        </w:rPr>
        <w:t>江苏省发改委</w:t>
      </w:r>
      <w:r>
        <w:rPr>
          <w:szCs w:val="21"/>
        </w:rPr>
        <w:t>等相关部门、省</w:t>
      </w:r>
      <w:r>
        <w:rPr>
          <w:rFonts w:hint="eastAsia"/>
          <w:szCs w:val="21"/>
        </w:rPr>
        <w:t>环保厅各处室、各市、</w:t>
      </w:r>
      <w:r>
        <w:rPr>
          <w:szCs w:val="21"/>
        </w:rPr>
        <w:t>县</w:t>
      </w:r>
      <w:r>
        <w:rPr>
          <w:rFonts w:hint="eastAsia"/>
          <w:szCs w:val="21"/>
        </w:rPr>
        <w:t>（</w:t>
      </w:r>
      <w:r>
        <w:rPr>
          <w:szCs w:val="21"/>
        </w:rPr>
        <w:t>市</w:t>
      </w:r>
      <w:r>
        <w:rPr>
          <w:rFonts w:hint="eastAsia"/>
          <w:szCs w:val="21"/>
        </w:rPr>
        <w:t>）环保局、环境监测单位、科研院所、纺织工业协会、典型纺织染整园区</w:t>
      </w:r>
      <w:r>
        <w:rPr>
          <w:szCs w:val="21"/>
        </w:rPr>
        <w:t>及</w:t>
      </w:r>
      <w:r>
        <w:rPr>
          <w:rFonts w:hint="eastAsia"/>
          <w:szCs w:val="21"/>
        </w:rPr>
        <w:t>企业等</w:t>
      </w:r>
      <w:r>
        <w:rPr>
          <w:szCs w:val="21"/>
        </w:rPr>
        <w:t>4</w:t>
      </w:r>
      <w:r>
        <w:rPr>
          <w:rFonts w:hint="eastAsia"/>
          <w:szCs w:val="21"/>
        </w:rPr>
        <w:t>0多家单位，根据反馈</w:t>
      </w:r>
      <w:r>
        <w:rPr>
          <w:szCs w:val="21"/>
        </w:rPr>
        <w:t>建议，编制组</w:t>
      </w:r>
      <w:r>
        <w:rPr>
          <w:rFonts w:hint="eastAsia"/>
          <w:szCs w:val="21"/>
        </w:rPr>
        <w:t>主要作了以下修改：①补充关于去除锑污染物的工艺；②补充实施新标准限值后省域内行业企业的现状达标情况分析；③</w:t>
      </w:r>
      <w:r>
        <w:rPr>
          <w:szCs w:val="21"/>
        </w:rPr>
        <w:t>删除涉及规定集中式饮用水源</w:t>
      </w:r>
      <w:r>
        <w:rPr>
          <w:rFonts w:hint="eastAsia"/>
          <w:szCs w:val="21"/>
        </w:rPr>
        <w:t>一、二级</w:t>
      </w:r>
      <w:r>
        <w:rPr>
          <w:szCs w:val="21"/>
        </w:rPr>
        <w:t>保护区排放限值的内容</w:t>
      </w:r>
      <w:r>
        <w:rPr>
          <w:rFonts w:hint="eastAsia"/>
          <w:szCs w:val="21"/>
        </w:rPr>
        <w:t>；④</w:t>
      </w:r>
      <w:r>
        <w:rPr>
          <w:szCs w:val="21"/>
        </w:rPr>
        <w:t>明确除</w:t>
      </w:r>
      <w:r>
        <w:rPr>
          <w:rFonts w:hint="eastAsia"/>
          <w:szCs w:val="21"/>
        </w:rPr>
        <w:t>锑</w:t>
      </w:r>
      <w:r>
        <w:rPr>
          <w:szCs w:val="21"/>
        </w:rPr>
        <w:t>以外的其他污染物因子应执行</w:t>
      </w:r>
      <w:r>
        <w:t>《</w:t>
      </w:r>
      <w:r>
        <w:rPr>
          <w:rFonts w:hint="eastAsia"/>
        </w:rPr>
        <w:t>纺织染整工业水污染物排放标准</w:t>
      </w:r>
      <w:r>
        <w:t>》</w:t>
      </w:r>
      <w:r>
        <w:rPr>
          <w:rFonts w:hint="eastAsia"/>
        </w:rPr>
        <w:t>（GB 4287</w:t>
      </w:r>
      <w:r>
        <w:t>-2012</w:t>
      </w:r>
      <w:r>
        <w:rPr>
          <w:rFonts w:hint="eastAsia"/>
        </w:rPr>
        <w:t>）</w:t>
      </w:r>
      <w:r>
        <w:rPr>
          <w:rFonts w:hint="eastAsia"/>
          <w:szCs w:val="21"/>
        </w:rPr>
        <w:t>。</w:t>
      </w:r>
    </w:p>
    <w:p>
      <w:pPr>
        <w:snapToGrid/>
        <w:ind w:firstLine="420"/>
        <w:rPr>
          <w:szCs w:val="21"/>
          <w:highlight w:val="yellow"/>
        </w:rPr>
      </w:pPr>
    </w:p>
    <w:p>
      <w:pPr>
        <w:pStyle w:val="2"/>
      </w:pPr>
      <w:bookmarkStart w:id="86" w:name="_Toc504052070"/>
      <w:bookmarkStart w:id="87" w:name="_Toc504052223"/>
      <w:bookmarkStart w:id="88" w:name="_Toc505420245"/>
      <w:r>
        <w:rPr>
          <w:rFonts w:hint="eastAsia"/>
        </w:rPr>
        <w:t>11</w:t>
      </w:r>
      <w:r>
        <w:t xml:space="preserve"> </w:t>
      </w:r>
      <w:r>
        <w:rPr>
          <w:rFonts w:hint="eastAsia"/>
        </w:rPr>
        <w:t>标准技术审查情况</w:t>
      </w:r>
      <w:bookmarkEnd w:id="86"/>
      <w:bookmarkEnd w:id="87"/>
      <w:bookmarkEnd w:id="88"/>
    </w:p>
    <w:p>
      <w:pPr>
        <w:snapToGrid/>
        <w:ind w:firstLine="420"/>
        <w:rPr>
          <w:szCs w:val="21"/>
        </w:rPr>
      </w:pPr>
      <w:r>
        <w:rPr>
          <w:rFonts w:hint="eastAsia"/>
          <w:szCs w:val="21"/>
        </w:rPr>
        <w:t>201</w:t>
      </w:r>
      <w:r>
        <w:rPr>
          <w:szCs w:val="21"/>
        </w:rPr>
        <w:t>7</w:t>
      </w:r>
      <w:r>
        <w:rPr>
          <w:rFonts w:hint="eastAsia"/>
          <w:szCs w:val="21"/>
        </w:rPr>
        <w:t>年</w:t>
      </w:r>
      <w:r>
        <w:rPr>
          <w:szCs w:val="21"/>
        </w:rPr>
        <w:t>9</w:t>
      </w:r>
      <w:r>
        <w:rPr>
          <w:rFonts w:hint="eastAsia"/>
          <w:szCs w:val="21"/>
        </w:rPr>
        <w:t>月</w:t>
      </w:r>
      <w:r>
        <w:rPr>
          <w:szCs w:val="21"/>
        </w:rPr>
        <w:t>1</w:t>
      </w:r>
      <w:r>
        <w:rPr>
          <w:rFonts w:hint="eastAsia"/>
          <w:szCs w:val="21"/>
        </w:rPr>
        <w:t>日</w:t>
      </w:r>
      <w:r>
        <w:rPr>
          <w:szCs w:val="21"/>
        </w:rPr>
        <w:t>，</w:t>
      </w:r>
      <w:r>
        <w:rPr>
          <w:rFonts w:hint="eastAsia"/>
          <w:szCs w:val="21"/>
        </w:rPr>
        <w:t>江苏省环保厅和江苏省质监局在南京召开了江苏省地方标准《纺织染整工业</w:t>
      </w:r>
      <w:r>
        <w:rPr>
          <w:szCs w:val="21"/>
        </w:rPr>
        <w:t>废水中</w:t>
      </w:r>
      <w:r>
        <w:rPr>
          <w:rFonts w:hint="eastAsia"/>
          <w:szCs w:val="21"/>
        </w:rPr>
        <w:t>锑</w:t>
      </w:r>
      <w:r>
        <w:rPr>
          <w:szCs w:val="21"/>
        </w:rPr>
        <w:t>污染物</w:t>
      </w:r>
      <w:r>
        <w:rPr>
          <w:rFonts w:hint="eastAsia"/>
          <w:szCs w:val="21"/>
        </w:rPr>
        <w:t>排放标准》专家审查会。专家组听取了标准编制组的工作汇报，审阅了标准文本和编制说明，经讨论与质询，形成如下修改意见：①进一步明确</w:t>
      </w:r>
      <w:r>
        <w:rPr>
          <w:szCs w:val="21"/>
        </w:rPr>
        <w:t>锑污染物为总锑；</w:t>
      </w:r>
      <w:r>
        <w:rPr>
          <w:rFonts w:hint="eastAsia"/>
          <w:szCs w:val="21"/>
        </w:rPr>
        <w:t>②分</w:t>
      </w:r>
      <w:r>
        <w:rPr>
          <w:szCs w:val="21"/>
        </w:rPr>
        <w:t>敏感区域和一般区域给出排放限值</w:t>
      </w:r>
      <w:r>
        <w:rPr>
          <w:rFonts w:hint="eastAsia"/>
          <w:szCs w:val="21"/>
        </w:rPr>
        <w:t>，</w:t>
      </w:r>
      <w:r>
        <w:rPr>
          <w:szCs w:val="21"/>
        </w:rPr>
        <w:t>其中敏感区域为太湖流域及饮用水源准保护区；</w:t>
      </w:r>
      <w:r>
        <w:rPr>
          <w:rFonts w:hint="eastAsia"/>
          <w:szCs w:val="21"/>
        </w:rPr>
        <w:t>③进一步完善</w:t>
      </w:r>
      <w:r>
        <w:rPr>
          <w:szCs w:val="21"/>
        </w:rPr>
        <w:t>编制说明。</w:t>
      </w:r>
      <w:r>
        <w:rPr>
          <w:rFonts w:hint="eastAsia"/>
          <w:szCs w:val="21"/>
        </w:rPr>
        <w:t>标准编制组根据专家组意见进行了</w:t>
      </w:r>
      <w:r>
        <w:rPr>
          <w:szCs w:val="21"/>
        </w:rPr>
        <w:t>修改完善。</w:t>
      </w:r>
      <w:bookmarkEnd w:id="85"/>
    </w:p>
    <w:sectPr>
      <w:headerReference r:id="rId13" w:type="first"/>
      <w:footerReference r:id="rId16" w:type="first"/>
      <w:headerReference r:id="rId11" w:type="default"/>
      <w:footerReference r:id="rId14" w:type="default"/>
      <w:headerReference r:id="rId12" w:type="even"/>
      <w:footerReference r:id="rId15" w:type="even"/>
      <w:pgSz w:w="11906" w:h="16838"/>
      <w:pgMar w:top="1814" w:right="1531" w:bottom="1985" w:left="1531" w:header="737" w:footer="680" w:gutter="0"/>
      <w:cols w:space="720"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auto"/>
    <w:pitch w:val="default"/>
    <w:sig w:usb0="A00002EF" w:usb1="4000004B" w:usb2="00000000" w:usb3="00000000" w:csb0="2000019F" w:csb1="00000000"/>
  </w:font>
  <w:font w:name="Calibri">
    <w:panose1 w:val="020F0502020204030204"/>
    <w:charset w:val="00"/>
    <w:family w:val="auto"/>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楷体_GB2312">
    <w:altName w:val="楷体"/>
    <w:panose1 w:val="00000000000000000000"/>
    <w:charset w:val="86"/>
    <w:family w:val="auto"/>
    <w:pitch w:val="default"/>
    <w:sig w:usb0="00000000" w:usb1="080E0000" w:usb2="00000010" w:usb3="00000000" w:csb0="00040000" w:csb1="00000000"/>
  </w:font>
  <w:font w:name="仿宋_GB2312">
    <w:altName w:val="仿宋"/>
    <w:panose1 w:val="00000000000000000000"/>
    <w:charset w:val="86"/>
    <w:family w:val="auto"/>
    <w:pitch w:val="default"/>
    <w:sig w:usb0="00000000" w:usb1="080E0000" w:usb2="00000010" w:usb3="00000000" w:csb0="00040000"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jc w:val="center"/>
    </w:pPr>
    <w:r>
      <w:fldChar w:fldCharType="begin"/>
    </w:r>
    <w:r>
      <w:instrText xml:space="preserve">PAGE   \* MERGEFORMAT</w:instrText>
    </w:r>
    <w:r>
      <w:fldChar w:fldCharType="separate"/>
    </w:r>
    <w:r>
      <w:t>i</w:t>
    </w:r>
    <w:r>
      <w:rPr>
        <w:lang w:val="zh-CN"/>
      </w:rPr>
      <w:fldChar w:fldCharType="end"/>
    </w:r>
  </w:p>
  <w:p>
    <w:pPr>
      <w:pStyle w:val="17"/>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jc w:val="center"/>
    </w:pPr>
    <w:r>
      <w:fldChar w:fldCharType="begin"/>
    </w:r>
    <w:r>
      <w:instrText xml:space="preserve">PAGE   \* MERGEFORMAT</w:instrText>
    </w:r>
    <w:r>
      <w:fldChar w:fldCharType="separate"/>
    </w:r>
    <w:r>
      <w:t>3</w:t>
    </w:r>
    <w:r>
      <w:rPr>
        <w:lang w:val="zh-CN"/>
      </w:rPr>
      <w:fldChar w:fldCharType="end"/>
    </w:r>
  </w:p>
  <w:p>
    <w:pPr>
      <w:pStyle w:val="17"/>
      <w:ind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pBdr>
        <w:bottom w:val="none" w:color="auto" w:sz="0" w:space="0"/>
      </w:pBdr>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435"/>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C35688"/>
    <w:rsid w:val="000003C0"/>
    <w:rsid w:val="00000981"/>
    <w:rsid w:val="000009F1"/>
    <w:rsid w:val="00000A7D"/>
    <w:rsid w:val="00002B27"/>
    <w:rsid w:val="00003061"/>
    <w:rsid w:val="0000375B"/>
    <w:rsid w:val="000046B6"/>
    <w:rsid w:val="00005882"/>
    <w:rsid w:val="00005C53"/>
    <w:rsid w:val="0000784B"/>
    <w:rsid w:val="00007BCF"/>
    <w:rsid w:val="0001020B"/>
    <w:rsid w:val="00010608"/>
    <w:rsid w:val="00011965"/>
    <w:rsid w:val="00012995"/>
    <w:rsid w:val="00012AF9"/>
    <w:rsid w:val="000131D5"/>
    <w:rsid w:val="00013526"/>
    <w:rsid w:val="000135C4"/>
    <w:rsid w:val="00013DC0"/>
    <w:rsid w:val="0001509C"/>
    <w:rsid w:val="000151AF"/>
    <w:rsid w:val="00015382"/>
    <w:rsid w:val="00015DE7"/>
    <w:rsid w:val="0001605E"/>
    <w:rsid w:val="00016167"/>
    <w:rsid w:val="00016F6F"/>
    <w:rsid w:val="000170A0"/>
    <w:rsid w:val="0001728C"/>
    <w:rsid w:val="000174D4"/>
    <w:rsid w:val="000177C2"/>
    <w:rsid w:val="00022509"/>
    <w:rsid w:val="00022626"/>
    <w:rsid w:val="00022FC1"/>
    <w:rsid w:val="00023364"/>
    <w:rsid w:val="000238F2"/>
    <w:rsid w:val="00023D57"/>
    <w:rsid w:val="00023D9C"/>
    <w:rsid w:val="000246FD"/>
    <w:rsid w:val="00024927"/>
    <w:rsid w:val="0002575B"/>
    <w:rsid w:val="00025C68"/>
    <w:rsid w:val="00026280"/>
    <w:rsid w:val="000268BC"/>
    <w:rsid w:val="0002767F"/>
    <w:rsid w:val="000276DE"/>
    <w:rsid w:val="0003026A"/>
    <w:rsid w:val="000302C4"/>
    <w:rsid w:val="0003208D"/>
    <w:rsid w:val="000325A5"/>
    <w:rsid w:val="00032C3C"/>
    <w:rsid w:val="00032CFC"/>
    <w:rsid w:val="000330C8"/>
    <w:rsid w:val="00033D0F"/>
    <w:rsid w:val="00033E58"/>
    <w:rsid w:val="00034983"/>
    <w:rsid w:val="00035177"/>
    <w:rsid w:val="0003554A"/>
    <w:rsid w:val="0003562D"/>
    <w:rsid w:val="00035DC3"/>
    <w:rsid w:val="00036373"/>
    <w:rsid w:val="00036593"/>
    <w:rsid w:val="00036E6D"/>
    <w:rsid w:val="00040666"/>
    <w:rsid w:val="00040F87"/>
    <w:rsid w:val="000412A5"/>
    <w:rsid w:val="00041608"/>
    <w:rsid w:val="00041DD2"/>
    <w:rsid w:val="000420C9"/>
    <w:rsid w:val="00042CE1"/>
    <w:rsid w:val="00042F45"/>
    <w:rsid w:val="000433F6"/>
    <w:rsid w:val="00045F82"/>
    <w:rsid w:val="00047A08"/>
    <w:rsid w:val="00047B36"/>
    <w:rsid w:val="0005096E"/>
    <w:rsid w:val="00050CD7"/>
    <w:rsid w:val="000512C1"/>
    <w:rsid w:val="00051838"/>
    <w:rsid w:val="000526FD"/>
    <w:rsid w:val="000527E5"/>
    <w:rsid w:val="00053B92"/>
    <w:rsid w:val="00054151"/>
    <w:rsid w:val="00054D71"/>
    <w:rsid w:val="00055039"/>
    <w:rsid w:val="00055661"/>
    <w:rsid w:val="00055D8F"/>
    <w:rsid w:val="00056299"/>
    <w:rsid w:val="000567B7"/>
    <w:rsid w:val="000569DC"/>
    <w:rsid w:val="00056A17"/>
    <w:rsid w:val="0006014F"/>
    <w:rsid w:val="000603C4"/>
    <w:rsid w:val="000607CC"/>
    <w:rsid w:val="000611B2"/>
    <w:rsid w:val="000623C0"/>
    <w:rsid w:val="000625CC"/>
    <w:rsid w:val="00063634"/>
    <w:rsid w:val="000636C0"/>
    <w:rsid w:val="00063A0D"/>
    <w:rsid w:val="00063B29"/>
    <w:rsid w:val="00063BDC"/>
    <w:rsid w:val="00064EDA"/>
    <w:rsid w:val="0006526E"/>
    <w:rsid w:val="0006536C"/>
    <w:rsid w:val="000656B8"/>
    <w:rsid w:val="0006591E"/>
    <w:rsid w:val="000660AF"/>
    <w:rsid w:val="000662AB"/>
    <w:rsid w:val="00067967"/>
    <w:rsid w:val="00067DDC"/>
    <w:rsid w:val="00070226"/>
    <w:rsid w:val="00070B40"/>
    <w:rsid w:val="00070EDD"/>
    <w:rsid w:val="000718D4"/>
    <w:rsid w:val="00071ADB"/>
    <w:rsid w:val="0007204B"/>
    <w:rsid w:val="000726C6"/>
    <w:rsid w:val="000756AE"/>
    <w:rsid w:val="00075754"/>
    <w:rsid w:val="0007585A"/>
    <w:rsid w:val="00076400"/>
    <w:rsid w:val="00076604"/>
    <w:rsid w:val="00076C79"/>
    <w:rsid w:val="00076CF4"/>
    <w:rsid w:val="00077459"/>
    <w:rsid w:val="00080A33"/>
    <w:rsid w:val="00080B10"/>
    <w:rsid w:val="00080C02"/>
    <w:rsid w:val="00081A62"/>
    <w:rsid w:val="00081EB6"/>
    <w:rsid w:val="00081F95"/>
    <w:rsid w:val="000820DB"/>
    <w:rsid w:val="000821C3"/>
    <w:rsid w:val="000826A4"/>
    <w:rsid w:val="00082814"/>
    <w:rsid w:val="00082B5A"/>
    <w:rsid w:val="00083575"/>
    <w:rsid w:val="00083A03"/>
    <w:rsid w:val="00083F92"/>
    <w:rsid w:val="0008412D"/>
    <w:rsid w:val="00084B6E"/>
    <w:rsid w:val="000851E5"/>
    <w:rsid w:val="000851F6"/>
    <w:rsid w:val="000856B5"/>
    <w:rsid w:val="00086084"/>
    <w:rsid w:val="0008666D"/>
    <w:rsid w:val="00086856"/>
    <w:rsid w:val="00086C5C"/>
    <w:rsid w:val="00086D0C"/>
    <w:rsid w:val="00086DB3"/>
    <w:rsid w:val="00086FC9"/>
    <w:rsid w:val="00090869"/>
    <w:rsid w:val="0009133C"/>
    <w:rsid w:val="00091951"/>
    <w:rsid w:val="00091A61"/>
    <w:rsid w:val="00091E86"/>
    <w:rsid w:val="000945AF"/>
    <w:rsid w:val="0009481C"/>
    <w:rsid w:val="00095055"/>
    <w:rsid w:val="000959D4"/>
    <w:rsid w:val="00096209"/>
    <w:rsid w:val="000968A1"/>
    <w:rsid w:val="00096A0B"/>
    <w:rsid w:val="000971FC"/>
    <w:rsid w:val="000A04F9"/>
    <w:rsid w:val="000A07A6"/>
    <w:rsid w:val="000A0859"/>
    <w:rsid w:val="000A085A"/>
    <w:rsid w:val="000A277A"/>
    <w:rsid w:val="000A2F58"/>
    <w:rsid w:val="000A30A4"/>
    <w:rsid w:val="000A37A0"/>
    <w:rsid w:val="000A3D86"/>
    <w:rsid w:val="000A4438"/>
    <w:rsid w:val="000A4549"/>
    <w:rsid w:val="000A4979"/>
    <w:rsid w:val="000A4B99"/>
    <w:rsid w:val="000A5573"/>
    <w:rsid w:val="000A56EE"/>
    <w:rsid w:val="000A6D00"/>
    <w:rsid w:val="000A6F2F"/>
    <w:rsid w:val="000A74B1"/>
    <w:rsid w:val="000B0684"/>
    <w:rsid w:val="000B0FC9"/>
    <w:rsid w:val="000B1464"/>
    <w:rsid w:val="000B1699"/>
    <w:rsid w:val="000B191F"/>
    <w:rsid w:val="000B1B8A"/>
    <w:rsid w:val="000B1E6D"/>
    <w:rsid w:val="000B2097"/>
    <w:rsid w:val="000B220C"/>
    <w:rsid w:val="000B297D"/>
    <w:rsid w:val="000B3109"/>
    <w:rsid w:val="000B3402"/>
    <w:rsid w:val="000B35E2"/>
    <w:rsid w:val="000B41B6"/>
    <w:rsid w:val="000B4308"/>
    <w:rsid w:val="000B4C26"/>
    <w:rsid w:val="000B4EDE"/>
    <w:rsid w:val="000B5347"/>
    <w:rsid w:val="000B5498"/>
    <w:rsid w:val="000B5731"/>
    <w:rsid w:val="000B6EA7"/>
    <w:rsid w:val="000B709E"/>
    <w:rsid w:val="000B77EF"/>
    <w:rsid w:val="000B7816"/>
    <w:rsid w:val="000B7C5E"/>
    <w:rsid w:val="000B7DA8"/>
    <w:rsid w:val="000C0670"/>
    <w:rsid w:val="000C09C0"/>
    <w:rsid w:val="000C0A75"/>
    <w:rsid w:val="000C0EBB"/>
    <w:rsid w:val="000C1434"/>
    <w:rsid w:val="000C1EA8"/>
    <w:rsid w:val="000C1EFD"/>
    <w:rsid w:val="000C2322"/>
    <w:rsid w:val="000C3371"/>
    <w:rsid w:val="000C36D2"/>
    <w:rsid w:val="000C36E3"/>
    <w:rsid w:val="000C3928"/>
    <w:rsid w:val="000C3A29"/>
    <w:rsid w:val="000C3CCA"/>
    <w:rsid w:val="000C407E"/>
    <w:rsid w:val="000C4F01"/>
    <w:rsid w:val="000C57E2"/>
    <w:rsid w:val="000C5C17"/>
    <w:rsid w:val="000C683E"/>
    <w:rsid w:val="000C6A1A"/>
    <w:rsid w:val="000C6B7B"/>
    <w:rsid w:val="000C7BD7"/>
    <w:rsid w:val="000C7C60"/>
    <w:rsid w:val="000C7F33"/>
    <w:rsid w:val="000D02B9"/>
    <w:rsid w:val="000D03B8"/>
    <w:rsid w:val="000D0722"/>
    <w:rsid w:val="000D1B25"/>
    <w:rsid w:val="000D1BEC"/>
    <w:rsid w:val="000D2F37"/>
    <w:rsid w:val="000D39CB"/>
    <w:rsid w:val="000D3C93"/>
    <w:rsid w:val="000D3CDA"/>
    <w:rsid w:val="000D45F2"/>
    <w:rsid w:val="000D4B83"/>
    <w:rsid w:val="000D4C7E"/>
    <w:rsid w:val="000D517A"/>
    <w:rsid w:val="000D5333"/>
    <w:rsid w:val="000D5790"/>
    <w:rsid w:val="000D5915"/>
    <w:rsid w:val="000D5A9D"/>
    <w:rsid w:val="000D5B29"/>
    <w:rsid w:val="000D653D"/>
    <w:rsid w:val="000D7160"/>
    <w:rsid w:val="000D7AE6"/>
    <w:rsid w:val="000D7F29"/>
    <w:rsid w:val="000E059E"/>
    <w:rsid w:val="000E0CD2"/>
    <w:rsid w:val="000E2567"/>
    <w:rsid w:val="000E2815"/>
    <w:rsid w:val="000E2846"/>
    <w:rsid w:val="000E2E2F"/>
    <w:rsid w:val="000E30B8"/>
    <w:rsid w:val="000E3869"/>
    <w:rsid w:val="000E4471"/>
    <w:rsid w:val="000E4840"/>
    <w:rsid w:val="000E4A20"/>
    <w:rsid w:val="000E4BE5"/>
    <w:rsid w:val="000E4D6A"/>
    <w:rsid w:val="000E4E40"/>
    <w:rsid w:val="000E4F81"/>
    <w:rsid w:val="000E5287"/>
    <w:rsid w:val="000E62FB"/>
    <w:rsid w:val="000E6513"/>
    <w:rsid w:val="000E6679"/>
    <w:rsid w:val="000E710D"/>
    <w:rsid w:val="000E7433"/>
    <w:rsid w:val="000E7A8B"/>
    <w:rsid w:val="000F039E"/>
    <w:rsid w:val="000F1204"/>
    <w:rsid w:val="000F2944"/>
    <w:rsid w:val="000F2954"/>
    <w:rsid w:val="000F2C53"/>
    <w:rsid w:val="000F3214"/>
    <w:rsid w:val="000F37A9"/>
    <w:rsid w:val="000F3C40"/>
    <w:rsid w:val="000F4323"/>
    <w:rsid w:val="000F43FE"/>
    <w:rsid w:val="000F48B1"/>
    <w:rsid w:val="000F50FD"/>
    <w:rsid w:val="000F6F3C"/>
    <w:rsid w:val="000F7E4F"/>
    <w:rsid w:val="000F7E9A"/>
    <w:rsid w:val="0010049E"/>
    <w:rsid w:val="0010211E"/>
    <w:rsid w:val="00102231"/>
    <w:rsid w:val="00103D15"/>
    <w:rsid w:val="001041C1"/>
    <w:rsid w:val="001059EB"/>
    <w:rsid w:val="00105A9B"/>
    <w:rsid w:val="00105BD5"/>
    <w:rsid w:val="001065F0"/>
    <w:rsid w:val="00106FCB"/>
    <w:rsid w:val="001073DD"/>
    <w:rsid w:val="001076A1"/>
    <w:rsid w:val="00107E41"/>
    <w:rsid w:val="001101BB"/>
    <w:rsid w:val="00110874"/>
    <w:rsid w:val="00111516"/>
    <w:rsid w:val="001128F0"/>
    <w:rsid w:val="00113224"/>
    <w:rsid w:val="0011335D"/>
    <w:rsid w:val="00113694"/>
    <w:rsid w:val="00114107"/>
    <w:rsid w:val="0011501C"/>
    <w:rsid w:val="00115826"/>
    <w:rsid w:val="001161AD"/>
    <w:rsid w:val="001169B3"/>
    <w:rsid w:val="00116A08"/>
    <w:rsid w:val="00117515"/>
    <w:rsid w:val="00117938"/>
    <w:rsid w:val="00121028"/>
    <w:rsid w:val="00121833"/>
    <w:rsid w:val="00121E0C"/>
    <w:rsid w:val="00122ACE"/>
    <w:rsid w:val="00122CDB"/>
    <w:rsid w:val="00123838"/>
    <w:rsid w:val="00123E0E"/>
    <w:rsid w:val="00124326"/>
    <w:rsid w:val="0012465A"/>
    <w:rsid w:val="0012474F"/>
    <w:rsid w:val="00124AD6"/>
    <w:rsid w:val="00125615"/>
    <w:rsid w:val="00125684"/>
    <w:rsid w:val="00125B22"/>
    <w:rsid w:val="0012697C"/>
    <w:rsid w:val="00126A64"/>
    <w:rsid w:val="0012711A"/>
    <w:rsid w:val="00127270"/>
    <w:rsid w:val="00127907"/>
    <w:rsid w:val="00130EAF"/>
    <w:rsid w:val="001316A5"/>
    <w:rsid w:val="00131B3E"/>
    <w:rsid w:val="00132E2E"/>
    <w:rsid w:val="00133E27"/>
    <w:rsid w:val="00133F1E"/>
    <w:rsid w:val="00133F2A"/>
    <w:rsid w:val="00133FE7"/>
    <w:rsid w:val="00134278"/>
    <w:rsid w:val="00134582"/>
    <w:rsid w:val="00134A55"/>
    <w:rsid w:val="00136331"/>
    <w:rsid w:val="0013704A"/>
    <w:rsid w:val="001370D1"/>
    <w:rsid w:val="001374BD"/>
    <w:rsid w:val="001376D9"/>
    <w:rsid w:val="00137A4A"/>
    <w:rsid w:val="001404F7"/>
    <w:rsid w:val="00140630"/>
    <w:rsid w:val="00140D17"/>
    <w:rsid w:val="00140E36"/>
    <w:rsid w:val="001423DD"/>
    <w:rsid w:val="00143993"/>
    <w:rsid w:val="00143BAC"/>
    <w:rsid w:val="00144382"/>
    <w:rsid w:val="001443BD"/>
    <w:rsid w:val="0014471E"/>
    <w:rsid w:val="00144D4C"/>
    <w:rsid w:val="00145513"/>
    <w:rsid w:val="00146700"/>
    <w:rsid w:val="0014685E"/>
    <w:rsid w:val="00150344"/>
    <w:rsid w:val="00150374"/>
    <w:rsid w:val="00150645"/>
    <w:rsid w:val="00150884"/>
    <w:rsid w:val="001518F1"/>
    <w:rsid w:val="00151F44"/>
    <w:rsid w:val="001534BD"/>
    <w:rsid w:val="00153C10"/>
    <w:rsid w:val="00153E9A"/>
    <w:rsid w:val="00154227"/>
    <w:rsid w:val="001542D8"/>
    <w:rsid w:val="00154AF3"/>
    <w:rsid w:val="00154DD7"/>
    <w:rsid w:val="00155292"/>
    <w:rsid w:val="00155431"/>
    <w:rsid w:val="00155F03"/>
    <w:rsid w:val="00156474"/>
    <w:rsid w:val="00156F60"/>
    <w:rsid w:val="0015701F"/>
    <w:rsid w:val="001570DA"/>
    <w:rsid w:val="001575C7"/>
    <w:rsid w:val="00157C43"/>
    <w:rsid w:val="00157C8B"/>
    <w:rsid w:val="00160B7E"/>
    <w:rsid w:val="00160ECF"/>
    <w:rsid w:val="00161A5F"/>
    <w:rsid w:val="001622E8"/>
    <w:rsid w:val="001627F7"/>
    <w:rsid w:val="00162F48"/>
    <w:rsid w:val="001632BF"/>
    <w:rsid w:val="0016375A"/>
    <w:rsid w:val="00163B42"/>
    <w:rsid w:val="0016415C"/>
    <w:rsid w:val="001646A8"/>
    <w:rsid w:val="001661EE"/>
    <w:rsid w:val="0016644A"/>
    <w:rsid w:val="00166694"/>
    <w:rsid w:val="001671E4"/>
    <w:rsid w:val="0016749D"/>
    <w:rsid w:val="00167BB6"/>
    <w:rsid w:val="00167E86"/>
    <w:rsid w:val="00171593"/>
    <w:rsid w:val="001717B4"/>
    <w:rsid w:val="001717DF"/>
    <w:rsid w:val="0017197A"/>
    <w:rsid w:val="00171B46"/>
    <w:rsid w:val="00172C2E"/>
    <w:rsid w:val="00172D97"/>
    <w:rsid w:val="00172E67"/>
    <w:rsid w:val="00173CEE"/>
    <w:rsid w:val="00173EAD"/>
    <w:rsid w:val="00174565"/>
    <w:rsid w:val="0017595B"/>
    <w:rsid w:val="00175F34"/>
    <w:rsid w:val="0017746D"/>
    <w:rsid w:val="001777D7"/>
    <w:rsid w:val="0018062F"/>
    <w:rsid w:val="00180CA1"/>
    <w:rsid w:val="0018120C"/>
    <w:rsid w:val="00182330"/>
    <w:rsid w:val="0018275A"/>
    <w:rsid w:val="001827D1"/>
    <w:rsid w:val="00182856"/>
    <w:rsid w:val="001828AA"/>
    <w:rsid w:val="00183077"/>
    <w:rsid w:val="001836E6"/>
    <w:rsid w:val="0018394B"/>
    <w:rsid w:val="00184E62"/>
    <w:rsid w:val="00185ABA"/>
    <w:rsid w:val="00185BA4"/>
    <w:rsid w:val="00186370"/>
    <w:rsid w:val="00186968"/>
    <w:rsid w:val="00186F00"/>
    <w:rsid w:val="00187251"/>
    <w:rsid w:val="00187281"/>
    <w:rsid w:val="00187683"/>
    <w:rsid w:val="0019173D"/>
    <w:rsid w:val="001925DC"/>
    <w:rsid w:val="00192658"/>
    <w:rsid w:val="00193620"/>
    <w:rsid w:val="00193E1D"/>
    <w:rsid w:val="001940B9"/>
    <w:rsid w:val="001945FD"/>
    <w:rsid w:val="00194841"/>
    <w:rsid w:val="00194C15"/>
    <w:rsid w:val="00194F06"/>
    <w:rsid w:val="001950D4"/>
    <w:rsid w:val="0019517D"/>
    <w:rsid w:val="0019527F"/>
    <w:rsid w:val="0019729C"/>
    <w:rsid w:val="00197624"/>
    <w:rsid w:val="001A045D"/>
    <w:rsid w:val="001A19B6"/>
    <w:rsid w:val="001A1CEB"/>
    <w:rsid w:val="001A220B"/>
    <w:rsid w:val="001A2EB7"/>
    <w:rsid w:val="001A2F57"/>
    <w:rsid w:val="001A41C1"/>
    <w:rsid w:val="001A474B"/>
    <w:rsid w:val="001A5F1B"/>
    <w:rsid w:val="001A6A7A"/>
    <w:rsid w:val="001A6B0E"/>
    <w:rsid w:val="001A6B8B"/>
    <w:rsid w:val="001A7CA3"/>
    <w:rsid w:val="001B1899"/>
    <w:rsid w:val="001B1E26"/>
    <w:rsid w:val="001B21C7"/>
    <w:rsid w:val="001B223C"/>
    <w:rsid w:val="001B2473"/>
    <w:rsid w:val="001B34E4"/>
    <w:rsid w:val="001B3661"/>
    <w:rsid w:val="001B44D5"/>
    <w:rsid w:val="001B4645"/>
    <w:rsid w:val="001B5244"/>
    <w:rsid w:val="001B5437"/>
    <w:rsid w:val="001B5F86"/>
    <w:rsid w:val="001B7698"/>
    <w:rsid w:val="001B7C8D"/>
    <w:rsid w:val="001C0723"/>
    <w:rsid w:val="001C1781"/>
    <w:rsid w:val="001C1D14"/>
    <w:rsid w:val="001C2072"/>
    <w:rsid w:val="001C21CF"/>
    <w:rsid w:val="001C3B8A"/>
    <w:rsid w:val="001C4B25"/>
    <w:rsid w:val="001C6348"/>
    <w:rsid w:val="001C7210"/>
    <w:rsid w:val="001C7556"/>
    <w:rsid w:val="001D0149"/>
    <w:rsid w:val="001D03B4"/>
    <w:rsid w:val="001D0806"/>
    <w:rsid w:val="001D0A24"/>
    <w:rsid w:val="001D0D82"/>
    <w:rsid w:val="001D148E"/>
    <w:rsid w:val="001D1A89"/>
    <w:rsid w:val="001D3512"/>
    <w:rsid w:val="001D370E"/>
    <w:rsid w:val="001D3FF3"/>
    <w:rsid w:val="001D46E2"/>
    <w:rsid w:val="001D5402"/>
    <w:rsid w:val="001D5C7F"/>
    <w:rsid w:val="001D68DF"/>
    <w:rsid w:val="001D7267"/>
    <w:rsid w:val="001D76DB"/>
    <w:rsid w:val="001D7B82"/>
    <w:rsid w:val="001E0CDD"/>
    <w:rsid w:val="001E12CE"/>
    <w:rsid w:val="001E19C9"/>
    <w:rsid w:val="001E1A89"/>
    <w:rsid w:val="001E1EF0"/>
    <w:rsid w:val="001E3240"/>
    <w:rsid w:val="001E3735"/>
    <w:rsid w:val="001E3839"/>
    <w:rsid w:val="001E5E1F"/>
    <w:rsid w:val="001E5F8F"/>
    <w:rsid w:val="001E61CF"/>
    <w:rsid w:val="001E62C3"/>
    <w:rsid w:val="001E6515"/>
    <w:rsid w:val="001E669A"/>
    <w:rsid w:val="001E6C08"/>
    <w:rsid w:val="001E6D21"/>
    <w:rsid w:val="001E6EBB"/>
    <w:rsid w:val="001E7139"/>
    <w:rsid w:val="001E755D"/>
    <w:rsid w:val="001E776E"/>
    <w:rsid w:val="001F06BF"/>
    <w:rsid w:val="001F07E0"/>
    <w:rsid w:val="001F0AD3"/>
    <w:rsid w:val="001F0B5E"/>
    <w:rsid w:val="001F1502"/>
    <w:rsid w:val="001F1FA1"/>
    <w:rsid w:val="001F2F6F"/>
    <w:rsid w:val="001F3BD5"/>
    <w:rsid w:val="001F3EC9"/>
    <w:rsid w:val="001F4056"/>
    <w:rsid w:val="001F4689"/>
    <w:rsid w:val="001F4F65"/>
    <w:rsid w:val="001F5407"/>
    <w:rsid w:val="001F5765"/>
    <w:rsid w:val="001F5BA6"/>
    <w:rsid w:val="001F655E"/>
    <w:rsid w:val="001F67E8"/>
    <w:rsid w:val="001F70F8"/>
    <w:rsid w:val="001F79E2"/>
    <w:rsid w:val="001F7DBF"/>
    <w:rsid w:val="002007A3"/>
    <w:rsid w:val="002008E9"/>
    <w:rsid w:val="00200E49"/>
    <w:rsid w:val="00202181"/>
    <w:rsid w:val="00202B1C"/>
    <w:rsid w:val="002037CE"/>
    <w:rsid w:val="00203B97"/>
    <w:rsid w:val="00203F6E"/>
    <w:rsid w:val="00204B43"/>
    <w:rsid w:val="002052AB"/>
    <w:rsid w:val="00205508"/>
    <w:rsid w:val="00205CDB"/>
    <w:rsid w:val="002060BF"/>
    <w:rsid w:val="00206311"/>
    <w:rsid w:val="002064B2"/>
    <w:rsid w:val="00206A33"/>
    <w:rsid w:val="00206BF4"/>
    <w:rsid w:val="00207D17"/>
    <w:rsid w:val="00210082"/>
    <w:rsid w:val="00210334"/>
    <w:rsid w:val="00211C5D"/>
    <w:rsid w:val="002123EA"/>
    <w:rsid w:val="00213872"/>
    <w:rsid w:val="00214B6F"/>
    <w:rsid w:val="00214E10"/>
    <w:rsid w:val="00216117"/>
    <w:rsid w:val="00216AAF"/>
    <w:rsid w:val="002172AB"/>
    <w:rsid w:val="00217640"/>
    <w:rsid w:val="00217F32"/>
    <w:rsid w:val="0022031A"/>
    <w:rsid w:val="00221033"/>
    <w:rsid w:val="00221A91"/>
    <w:rsid w:val="00221CC2"/>
    <w:rsid w:val="00221E2A"/>
    <w:rsid w:val="002220F2"/>
    <w:rsid w:val="002222C6"/>
    <w:rsid w:val="002222CF"/>
    <w:rsid w:val="002240CE"/>
    <w:rsid w:val="0022478A"/>
    <w:rsid w:val="00225AE6"/>
    <w:rsid w:val="00225B29"/>
    <w:rsid w:val="00225B52"/>
    <w:rsid w:val="00225E24"/>
    <w:rsid w:val="00225F12"/>
    <w:rsid w:val="00226FEB"/>
    <w:rsid w:val="00227466"/>
    <w:rsid w:val="002278EE"/>
    <w:rsid w:val="00227DFB"/>
    <w:rsid w:val="00230295"/>
    <w:rsid w:val="00231213"/>
    <w:rsid w:val="00231899"/>
    <w:rsid w:val="0023225F"/>
    <w:rsid w:val="00232861"/>
    <w:rsid w:val="002328C9"/>
    <w:rsid w:val="00233063"/>
    <w:rsid w:val="00233106"/>
    <w:rsid w:val="0023333B"/>
    <w:rsid w:val="00233612"/>
    <w:rsid w:val="00233B11"/>
    <w:rsid w:val="00234603"/>
    <w:rsid w:val="00235297"/>
    <w:rsid w:val="002359A8"/>
    <w:rsid w:val="00235C25"/>
    <w:rsid w:val="00235DEF"/>
    <w:rsid w:val="00236368"/>
    <w:rsid w:val="002369D3"/>
    <w:rsid w:val="00237D56"/>
    <w:rsid w:val="002400DD"/>
    <w:rsid w:val="002401A1"/>
    <w:rsid w:val="002404F7"/>
    <w:rsid w:val="00240851"/>
    <w:rsid w:val="00240A33"/>
    <w:rsid w:val="00240AED"/>
    <w:rsid w:val="00242DD1"/>
    <w:rsid w:val="00242FAE"/>
    <w:rsid w:val="002432DD"/>
    <w:rsid w:val="002445BF"/>
    <w:rsid w:val="0024533F"/>
    <w:rsid w:val="00245645"/>
    <w:rsid w:val="00246AFF"/>
    <w:rsid w:val="00247703"/>
    <w:rsid w:val="002500BE"/>
    <w:rsid w:val="0025050E"/>
    <w:rsid w:val="0025199E"/>
    <w:rsid w:val="00251CE3"/>
    <w:rsid w:val="00251D31"/>
    <w:rsid w:val="00251FC0"/>
    <w:rsid w:val="002520C5"/>
    <w:rsid w:val="0025238E"/>
    <w:rsid w:val="00252A96"/>
    <w:rsid w:val="00252B94"/>
    <w:rsid w:val="00252C26"/>
    <w:rsid w:val="00252F81"/>
    <w:rsid w:val="00253576"/>
    <w:rsid w:val="00253979"/>
    <w:rsid w:val="00254DCE"/>
    <w:rsid w:val="00255AB6"/>
    <w:rsid w:val="00255F88"/>
    <w:rsid w:val="002560F8"/>
    <w:rsid w:val="002578A7"/>
    <w:rsid w:val="00260895"/>
    <w:rsid w:val="0026135B"/>
    <w:rsid w:val="0026166A"/>
    <w:rsid w:val="00261894"/>
    <w:rsid w:val="002619AC"/>
    <w:rsid w:val="00262746"/>
    <w:rsid w:val="002627B5"/>
    <w:rsid w:val="00262A26"/>
    <w:rsid w:val="00262FD0"/>
    <w:rsid w:val="00263235"/>
    <w:rsid w:val="00265417"/>
    <w:rsid w:val="0026610A"/>
    <w:rsid w:val="0026613B"/>
    <w:rsid w:val="0026632C"/>
    <w:rsid w:val="00266A53"/>
    <w:rsid w:val="00266D50"/>
    <w:rsid w:val="0026761B"/>
    <w:rsid w:val="00267796"/>
    <w:rsid w:val="00267F5C"/>
    <w:rsid w:val="0027007C"/>
    <w:rsid w:val="00270BED"/>
    <w:rsid w:val="00271752"/>
    <w:rsid w:val="00271847"/>
    <w:rsid w:val="00272881"/>
    <w:rsid w:val="00272EB1"/>
    <w:rsid w:val="00273207"/>
    <w:rsid w:val="002733BD"/>
    <w:rsid w:val="002737B3"/>
    <w:rsid w:val="00273C43"/>
    <w:rsid w:val="00274033"/>
    <w:rsid w:val="00274260"/>
    <w:rsid w:val="002756AE"/>
    <w:rsid w:val="00275A25"/>
    <w:rsid w:val="00276CC7"/>
    <w:rsid w:val="0028030F"/>
    <w:rsid w:val="0028169B"/>
    <w:rsid w:val="002817C5"/>
    <w:rsid w:val="00281BC7"/>
    <w:rsid w:val="0028287B"/>
    <w:rsid w:val="002833B1"/>
    <w:rsid w:val="00283924"/>
    <w:rsid w:val="00284435"/>
    <w:rsid w:val="002846F9"/>
    <w:rsid w:val="002847F6"/>
    <w:rsid w:val="00284FFA"/>
    <w:rsid w:val="002852DC"/>
    <w:rsid w:val="00285551"/>
    <w:rsid w:val="00286020"/>
    <w:rsid w:val="002863AF"/>
    <w:rsid w:val="0028645A"/>
    <w:rsid w:val="002870C5"/>
    <w:rsid w:val="00287F45"/>
    <w:rsid w:val="00287F5B"/>
    <w:rsid w:val="00290721"/>
    <w:rsid w:val="002909BD"/>
    <w:rsid w:val="00290E2C"/>
    <w:rsid w:val="00293116"/>
    <w:rsid w:val="002933F9"/>
    <w:rsid w:val="00293514"/>
    <w:rsid w:val="00295295"/>
    <w:rsid w:val="002952D9"/>
    <w:rsid w:val="00295B45"/>
    <w:rsid w:val="00296121"/>
    <w:rsid w:val="00296AFA"/>
    <w:rsid w:val="00296D75"/>
    <w:rsid w:val="0029760C"/>
    <w:rsid w:val="0029761D"/>
    <w:rsid w:val="0029764E"/>
    <w:rsid w:val="00297974"/>
    <w:rsid w:val="002A083E"/>
    <w:rsid w:val="002A13D6"/>
    <w:rsid w:val="002A1742"/>
    <w:rsid w:val="002A18DF"/>
    <w:rsid w:val="002A1983"/>
    <w:rsid w:val="002A2510"/>
    <w:rsid w:val="002A286E"/>
    <w:rsid w:val="002A2A61"/>
    <w:rsid w:val="002A3350"/>
    <w:rsid w:val="002A3401"/>
    <w:rsid w:val="002A39DB"/>
    <w:rsid w:val="002A41E5"/>
    <w:rsid w:val="002A5BE8"/>
    <w:rsid w:val="002A5ED5"/>
    <w:rsid w:val="002A5F31"/>
    <w:rsid w:val="002A6A39"/>
    <w:rsid w:val="002A6A8B"/>
    <w:rsid w:val="002A6C92"/>
    <w:rsid w:val="002A77CA"/>
    <w:rsid w:val="002B0191"/>
    <w:rsid w:val="002B0B89"/>
    <w:rsid w:val="002B1419"/>
    <w:rsid w:val="002B19E9"/>
    <w:rsid w:val="002B2340"/>
    <w:rsid w:val="002B2474"/>
    <w:rsid w:val="002B2581"/>
    <w:rsid w:val="002B336C"/>
    <w:rsid w:val="002B33A4"/>
    <w:rsid w:val="002B374A"/>
    <w:rsid w:val="002B3B84"/>
    <w:rsid w:val="002B564E"/>
    <w:rsid w:val="002B5874"/>
    <w:rsid w:val="002B5894"/>
    <w:rsid w:val="002B5F51"/>
    <w:rsid w:val="002B67BA"/>
    <w:rsid w:val="002B6822"/>
    <w:rsid w:val="002B7778"/>
    <w:rsid w:val="002B7FC7"/>
    <w:rsid w:val="002C037B"/>
    <w:rsid w:val="002C148E"/>
    <w:rsid w:val="002C1905"/>
    <w:rsid w:val="002C2B72"/>
    <w:rsid w:val="002C2E2C"/>
    <w:rsid w:val="002C3269"/>
    <w:rsid w:val="002C33BE"/>
    <w:rsid w:val="002C356D"/>
    <w:rsid w:val="002C3894"/>
    <w:rsid w:val="002C3EB2"/>
    <w:rsid w:val="002C48FE"/>
    <w:rsid w:val="002C5437"/>
    <w:rsid w:val="002C6108"/>
    <w:rsid w:val="002C63E8"/>
    <w:rsid w:val="002C6546"/>
    <w:rsid w:val="002C6C8C"/>
    <w:rsid w:val="002C7501"/>
    <w:rsid w:val="002D063C"/>
    <w:rsid w:val="002D07F9"/>
    <w:rsid w:val="002D1699"/>
    <w:rsid w:val="002D2490"/>
    <w:rsid w:val="002D2FEB"/>
    <w:rsid w:val="002D4175"/>
    <w:rsid w:val="002D4993"/>
    <w:rsid w:val="002D49AF"/>
    <w:rsid w:val="002D5DDC"/>
    <w:rsid w:val="002D6349"/>
    <w:rsid w:val="002D671D"/>
    <w:rsid w:val="002D6976"/>
    <w:rsid w:val="002D746B"/>
    <w:rsid w:val="002D7C93"/>
    <w:rsid w:val="002E1246"/>
    <w:rsid w:val="002E1CA1"/>
    <w:rsid w:val="002E2A88"/>
    <w:rsid w:val="002E3460"/>
    <w:rsid w:val="002E362A"/>
    <w:rsid w:val="002E39CC"/>
    <w:rsid w:val="002E4CF0"/>
    <w:rsid w:val="002E4EAE"/>
    <w:rsid w:val="002E59F5"/>
    <w:rsid w:val="002E61F0"/>
    <w:rsid w:val="002E6DE9"/>
    <w:rsid w:val="002E6E1E"/>
    <w:rsid w:val="002E720F"/>
    <w:rsid w:val="002E7419"/>
    <w:rsid w:val="002F0CF5"/>
    <w:rsid w:val="002F16D9"/>
    <w:rsid w:val="002F19CF"/>
    <w:rsid w:val="002F1B1F"/>
    <w:rsid w:val="002F2230"/>
    <w:rsid w:val="002F23A1"/>
    <w:rsid w:val="002F2CE0"/>
    <w:rsid w:val="002F43E2"/>
    <w:rsid w:val="002F446C"/>
    <w:rsid w:val="002F4596"/>
    <w:rsid w:val="002F4CA7"/>
    <w:rsid w:val="002F6EB4"/>
    <w:rsid w:val="002F720F"/>
    <w:rsid w:val="002F78C4"/>
    <w:rsid w:val="00300530"/>
    <w:rsid w:val="00300E29"/>
    <w:rsid w:val="003017F4"/>
    <w:rsid w:val="00301CEA"/>
    <w:rsid w:val="00301EB1"/>
    <w:rsid w:val="00302849"/>
    <w:rsid w:val="00302BED"/>
    <w:rsid w:val="00302BF4"/>
    <w:rsid w:val="00302F45"/>
    <w:rsid w:val="00303304"/>
    <w:rsid w:val="003035EF"/>
    <w:rsid w:val="003036B1"/>
    <w:rsid w:val="00303BC3"/>
    <w:rsid w:val="00303BD1"/>
    <w:rsid w:val="00303E33"/>
    <w:rsid w:val="00303EEE"/>
    <w:rsid w:val="0030408F"/>
    <w:rsid w:val="00305D03"/>
    <w:rsid w:val="0030609A"/>
    <w:rsid w:val="003060CA"/>
    <w:rsid w:val="00306A03"/>
    <w:rsid w:val="00306E2C"/>
    <w:rsid w:val="003070F3"/>
    <w:rsid w:val="003116CA"/>
    <w:rsid w:val="00311C70"/>
    <w:rsid w:val="00312116"/>
    <w:rsid w:val="003124CE"/>
    <w:rsid w:val="00313941"/>
    <w:rsid w:val="00313A63"/>
    <w:rsid w:val="00314264"/>
    <w:rsid w:val="00315B51"/>
    <w:rsid w:val="00317644"/>
    <w:rsid w:val="00320D24"/>
    <w:rsid w:val="00320D8B"/>
    <w:rsid w:val="00322598"/>
    <w:rsid w:val="003225DE"/>
    <w:rsid w:val="0032277F"/>
    <w:rsid w:val="00322A24"/>
    <w:rsid w:val="0032375F"/>
    <w:rsid w:val="00323A69"/>
    <w:rsid w:val="00323CF9"/>
    <w:rsid w:val="00323D8A"/>
    <w:rsid w:val="00324010"/>
    <w:rsid w:val="003240FC"/>
    <w:rsid w:val="003246BC"/>
    <w:rsid w:val="00324A9D"/>
    <w:rsid w:val="003251E9"/>
    <w:rsid w:val="0032714A"/>
    <w:rsid w:val="003272CF"/>
    <w:rsid w:val="0032756B"/>
    <w:rsid w:val="00327D46"/>
    <w:rsid w:val="003303C6"/>
    <w:rsid w:val="003306F3"/>
    <w:rsid w:val="00330C2A"/>
    <w:rsid w:val="00330DE0"/>
    <w:rsid w:val="00330F7B"/>
    <w:rsid w:val="003318AF"/>
    <w:rsid w:val="00332369"/>
    <w:rsid w:val="003323E0"/>
    <w:rsid w:val="00333393"/>
    <w:rsid w:val="00333B3F"/>
    <w:rsid w:val="00334356"/>
    <w:rsid w:val="00334EE8"/>
    <w:rsid w:val="0033530C"/>
    <w:rsid w:val="003366F1"/>
    <w:rsid w:val="00337561"/>
    <w:rsid w:val="00337698"/>
    <w:rsid w:val="003377DC"/>
    <w:rsid w:val="00337FC4"/>
    <w:rsid w:val="00340186"/>
    <w:rsid w:val="003409E7"/>
    <w:rsid w:val="0034114E"/>
    <w:rsid w:val="003413EE"/>
    <w:rsid w:val="00341AE7"/>
    <w:rsid w:val="003423B4"/>
    <w:rsid w:val="00342D32"/>
    <w:rsid w:val="00343A3F"/>
    <w:rsid w:val="00343C32"/>
    <w:rsid w:val="0034415F"/>
    <w:rsid w:val="00344994"/>
    <w:rsid w:val="00345516"/>
    <w:rsid w:val="00345B05"/>
    <w:rsid w:val="00345EED"/>
    <w:rsid w:val="00345FBF"/>
    <w:rsid w:val="00346276"/>
    <w:rsid w:val="003466D3"/>
    <w:rsid w:val="003476EB"/>
    <w:rsid w:val="00347B17"/>
    <w:rsid w:val="00347B46"/>
    <w:rsid w:val="00347D71"/>
    <w:rsid w:val="00347F65"/>
    <w:rsid w:val="00350210"/>
    <w:rsid w:val="00350EB0"/>
    <w:rsid w:val="00351531"/>
    <w:rsid w:val="00351D8A"/>
    <w:rsid w:val="00351F00"/>
    <w:rsid w:val="00351FD4"/>
    <w:rsid w:val="00351FE1"/>
    <w:rsid w:val="00352170"/>
    <w:rsid w:val="00352551"/>
    <w:rsid w:val="00352C0D"/>
    <w:rsid w:val="003536DF"/>
    <w:rsid w:val="0035397B"/>
    <w:rsid w:val="00353F9F"/>
    <w:rsid w:val="00354B55"/>
    <w:rsid w:val="00354C79"/>
    <w:rsid w:val="00354FDE"/>
    <w:rsid w:val="00355606"/>
    <w:rsid w:val="00355D1E"/>
    <w:rsid w:val="003565EB"/>
    <w:rsid w:val="00357CB7"/>
    <w:rsid w:val="00360F12"/>
    <w:rsid w:val="00361278"/>
    <w:rsid w:val="00361B68"/>
    <w:rsid w:val="00362254"/>
    <w:rsid w:val="00362274"/>
    <w:rsid w:val="003626B4"/>
    <w:rsid w:val="0036306C"/>
    <w:rsid w:val="003635BE"/>
    <w:rsid w:val="00363665"/>
    <w:rsid w:val="00363696"/>
    <w:rsid w:val="00363F4A"/>
    <w:rsid w:val="003640BF"/>
    <w:rsid w:val="003641DA"/>
    <w:rsid w:val="003642B6"/>
    <w:rsid w:val="0036482C"/>
    <w:rsid w:val="00364C93"/>
    <w:rsid w:val="00366294"/>
    <w:rsid w:val="00366C1F"/>
    <w:rsid w:val="0036798C"/>
    <w:rsid w:val="00367D4B"/>
    <w:rsid w:val="003706D4"/>
    <w:rsid w:val="003707F9"/>
    <w:rsid w:val="00371744"/>
    <w:rsid w:val="00372029"/>
    <w:rsid w:val="003731F0"/>
    <w:rsid w:val="00373AD9"/>
    <w:rsid w:val="00373BD3"/>
    <w:rsid w:val="003742FB"/>
    <w:rsid w:val="00374465"/>
    <w:rsid w:val="0037479B"/>
    <w:rsid w:val="00375065"/>
    <w:rsid w:val="00375A68"/>
    <w:rsid w:val="00375F57"/>
    <w:rsid w:val="00376272"/>
    <w:rsid w:val="00376312"/>
    <w:rsid w:val="003764B6"/>
    <w:rsid w:val="00376870"/>
    <w:rsid w:val="00377183"/>
    <w:rsid w:val="00377E05"/>
    <w:rsid w:val="00380136"/>
    <w:rsid w:val="00380650"/>
    <w:rsid w:val="00380669"/>
    <w:rsid w:val="0038102F"/>
    <w:rsid w:val="003819B4"/>
    <w:rsid w:val="00381D10"/>
    <w:rsid w:val="00382A16"/>
    <w:rsid w:val="00382DDA"/>
    <w:rsid w:val="00382EB1"/>
    <w:rsid w:val="00383A3E"/>
    <w:rsid w:val="00383B20"/>
    <w:rsid w:val="003842F8"/>
    <w:rsid w:val="00384D44"/>
    <w:rsid w:val="003855E5"/>
    <w:rsid w:val="00387445"/>
    <w:rsid w:val="00387663"/>
    <w:rsid w:val="003876AB"/>
    <w:rsid w:val="00387922"/>
    <w:rsid w:val="00387FC9"/>
    <w:rsid w:val="00390586"/>
    <w:rsid w:val="00390919"/>
    <w:rsid w:val="003912F9"/>
    <w:rsid w:val="00391941"/>
    <w:rsid w:val="00391E78"/>
    <w:rsid w:val="003928C7"/>
    <w:rsid w:val="0039313B"/>
    <w:rsid w:val="00393551"/>
    <w:rsid w:val="003937F2"/>
    <w:rsid w:val="003937FA"/>
    <w:rsid w:val="0039380A"/>
    <w:rsid w:val="00393EE6"/>
    <w:rsid w:val="00396F83"/>
    <w:rsid w:val="003976ED"/>
    <w:rsid w:val="00397ECC"/>
    <w:rsid w:val="003A042A"/>
    <w:rsid w:val="003A04F5"/>
    <w:rsid w:val="003A0D69"/>
    <w:rsid w:val="003A0F76"/>
    <w:rsid w:val="003A1167"/>
    <w:rsid w:val="003A1496"/>
    <w:rsid w:val="003A1C6E"/>
    <w:rsid w:val="003A22B3"/>
    <w:rsid w:val="003A2AE2"/>
    <w:rsid w:val="003A3D8F"/>
    <w:rsid w:val="003A4524"/>
    <w:rsid w:val="003A488D"/>
    <w:rsid w:val="003A4B3E"/>
    <w:rsid w:val="003A4D53"/>
    <w:rsid w:val="003A5E13"/>
    <w:rsid w:val="003A68D9"/>
    <w:rsid w:val="003A76E1"/>
    <w:rsid w:val="003A76FF"/>
    <w:rsid w:val="003B03A5"/>
    <w:rsid w:val="003B0537"/>
    <w:rsid w:val="003B0BC4"/>
    <w:rsid w:val="003B15C9"/>
    <w:rsid w:val="003B1B71"/>
    <w:rsid w:val="003B1CBF"/>
    <w:rsid w:val="003B2265"/>
    <w:rsid w:val="003B2330"/>
    <w:rsid w:val="003B4070"/>
    <w:rsid w:val="003B52A0"/>
    <w:rsid w:val="003B5367"/>
    <w:rsid w:val="003B5913"/>
    <w:rsid w:val="003B5938"/>
    <w:rsid w:val="003B59C9"/>
    <w:rsid w:val="003B608F"/>
    <w:rsid w:val="003B75AC"/>
    <w:rsid w:val="003B79DD"/>
    <w:rsid w:val="003C0DD3"/>
    <w:rsid w:val="003C11A4"/>
    <w:rsid w:val="003C1E96"/>
    <w:rsid w:val="003C26F7"/>
    <w:rsid w:val="003C297D"/>
    <w:rsid w:val="003C2ACC"/>
    <w:rsid w:val="003C32D8"/>
    <w:rsid w:val="003C3DA9"/>
    <w:rsid w:val="003C541A"/>
    <w:rsid w:val="003C6A95"/>
    <w:rsid w:val="003D0F8D"/>
    <w:rsid w:val="003D0FAC"/>
    <w:rsid w:val="003D1185"/>
    <w:rsid w:val="003D2466"/>
    <w:rsid w:val="003D25DC"/>
    <w:rsid w:val="003D2606"/>
    <w:rsid w:val="003D278B"/>
    <w:rsid w:val="003D27DE"/>
    <w:rsid w:val="003D2D2B"/>
    <w:rsid w:val="003D3CB7"/>
    <w:rsid w:val="003D465A"/>
    <w:rsid w:val="003D7325"/>
    <w:rsid w:val="003D7B28"/>
    <w:rsid w:val="003D7F19"/>
    <w:rsid w:val="003E007B"/>
    <w:rsid w:val="003E038D"/>
    <w:rsid w:val="003E04D6"/>
    <w:rsid w:val="003E05A9"/>
    <w:rsid w:val="003E093A"/>
    <w:rsid w:val="003E0BA0"/>
    <w:rsid w:val="003E27BD"/>
    <w:rsid w:val="003E2CB1"/>
    <w:rsid w:val="003E314B"/>
    <w:rsid w:val="003E34F1"/>
    <w:rsid w:val="003E3CDA"/>
    <w:rsid w:val="003E421C"/>
    <w:rsid w:val="003E5446"/>
    <w:rsid w:val="003E6E6F"/>
    <w:rsid w:val="003E74F5"/>
    <w:rsid w:val="003F0611"/>
    <w:rsid w:val="003F0BBB"/>
    <w:rsid w:val="003F0C31"/>
    <w:rsid w:val="003F0F1B"/>
    <w:rsid w:val="003F10E6"/>
    <w:rsid w:val="003F12F9"/>
    <w:rsid w:val="003F1656"/>
    <w:rsid w:val="003F1944"/>
    <w:rsid w:val="003F1D75"/>
    <w:rsid w:val="003F20A6"/>
    <w:rsid w:val="003F24D9"/>
    <w:rsid w:val="003F2734"/>
    <w:rsid w:val="003F2F2D"/>
    <w:rsid w:val="003F3786"/>
    <w:rsid w:val="003F382B"/>
    <w:rsid w:val="003F3E2F"/>
    <w:rsid w:val="003F3E64"/>
    <w:rsid w:val="003F4B85"/>
    <w:rsid w:val="003F4D5F"/>
    <w:rsid w:val="003F51CA"/>
    <w:rsid w:val="003F584C"/>
    <w:rsid w:val="003F5E4F"/>
    <w:rsid w:val="003F5F3E"/>
    <w:rsid w:val="003F642B"/>
    <w:rsid w:val="003F6AB1"/>
    <w:rsid w:val="003F7933"/>
    <w:rsid w:val="003F7A3C"/>
    <w:rsid w:val="0040019D"/>
    <w:rsid w:val="00400DF5"/>
    <w:rsid w:val="00400E58"/>
    <w:rsid w:val="004011F4"/>
    <w:rsid w:val="004018B1"/>
    <w:rsid w:val="00401F68"/>
    <w:rsid w:val="00402EA8"/>
    <w:rsid w:val="00403C6E"/>
    <w:rsid w:val="00403D62"/>
    <w:rsid w:val="00404357"/>
    <w:rsid w:val="00404646"/>
    <w:rsid w:val="004049FC"/>
    <w:rsid w:val="004051B3"/>
    <w:rsid w:val="00405EE4"/>
    <w:rsid w:val="00405F6B"/>
    <w:rsid w:val="0040600B"/>
    <w:rsid w:val="0040668C"/>
    <w:rsid w:val="00407C3A"/>
    <w:rsid w:val="00410B85"/>
    <w:rsid w:val="00410ED1"/>
    <w:rsid w:val="00410FEC"/>
    <w:rsid w:val="00411E5C"/>
    <w:rsid w:val="00411EDC"/>
    <w:rsid w:val="004121DF"/>
    <w:rsid w:val="0041234D"/>
    <w:rsid w:val="00412CEC"/>
    <w:rsid w:val="00412FDE"/>
    <w:rsid w:val="0041312B"/>
    <w:rsid w:val="004147FD"/>
    <w:rsid w:val="00414B3A"/>
    <w:rsid w:val="00416E9F"/>
    <w:rsid w:val="0041716B"/>
    <w:rsid w:val="00417A9D"/>
    <w:rsid w:val="00417EE4"/>
    <w:rsid w:val="004202FF"/>
    <w:rsid w:val="0042112C"/>
    <w:rsid w:val="0042123C"/>
    <w:rsid w:val="004212E4"/>
    <w:rsid w:val="00421675"/>
    <w:rsid w:val="00421823"/>
    <w:rsid w:val="0042199A"/>
    <w:rsid w:val="00421A4B"/>
    <w:rsid w:val="00422435"/>
    <w:rsid w:val="004236B3"/>
    <w:rsid w:val="00423FFC"/>
    <w:rsid w:val="00424667"/>
    <w:rsid w:val="00424E47"/>
    <w:rsid w:val="00425D6F"/>
    <w:rsid w:val="00426045"/>
    <w:rsid w:val="004261A2"/>
    <w:rsid w:val="00426E28"/>
    <w:rsid w:val="0042765F"/>
    <w:rsid w:val="00427ECB"/>
    <w:rsid w:val="00430356"/>
    <w:rsid w:val="004308DA"/>
    <w:rsid w:val="0043099B"/>
    <w:rsid w:val="00430ABA"/>
    <w:rsid w:val="00431416"/>
    <w:rsid w:val="0043141B"/>
    <w:rsid w:val="004317BC"/>
    <w:rsid w:val="00432034"/>
    <w:rsid w:val="0043232A"/>
    <w:rsid w:val="00432D91"/>
    <w:rsid w:val="0043350C"/>
    <w:rsid w:val="00433B36"/>
    <w:rsid w:val="00433F18"/>
    <w:rsid w:val="00434035"/>
    <w:rsid w:val="0043404D"/>
    <w:rsid w:val="004347C3"/>
    <w:rsid w:val="004353E6"/>
    <w:rsid w:val="00435830"/>
    <w:rsid w:val="00435D47"/>
    <w:rsid w:val="00435F3F"/>
    <w:rsid w:val="004372E7"/>
    <w:rsid w:val="00437305"/>
    <w:rsid w:val="00437779"/>
    <w:rsid w:val="00437A2F"/>
    <w:rsid w:val="00437F1F"/>
    <w:rsid w:val="004406EE"/>
    <w:rsid w:val="004408A9"/>
    <w:rsid w:val="00441ED1"/>
    <w:rsid w:val="0044564E"/>
    <w:rsid w:val="004460D6"/>
    <w:rsid w:val="00446413"/>
    <w:rsid w:val="00446BBB"/>
    <w:rsid w:val="004471ED"/>
    <w:rsid w:val="004472B0"/>
    <w:rsid w:val="00447458"/>
    <w:rsid w:val="004476F3"/>
    <w:rsid w:val="00447727"/>
    <w:rsid w:val="00447DD1"/>
    <w:rsid w:val="00447EA5"/>
    <w:rsid w:val="00450FB2"/>
    <w:rsid w:val="004512D3"/>
    <w:rsid w:val="00451512"/>
    <w:rsid w:val="00452B48"/>
    <w:rsid w:val="0045303B"/>
    <w:rsid w:val="004534A7"/>
    <w:rsid w:val="00453796"/>
    <w:rsid w:val="00455483"/>
    <w:rsid w:val="00455DA9"/>
    <w:rsid w:val="00456164"/>
    <w:rsid w:val="0045616F"/>
    <w:rsid w:val="00456570"/>
    <w:rsid w:val="00457216"/>
    <w:rsid w:val="00457450"/>
    <w:rsid w:val="00457615"/>
    <w:rsid w:val="00457ED5"/>
    <w:rsid w:val="00457F3E"/>
    <w:rsid w:val="0046037E"/>
    <w:rsid w:val="00460F2A"/>
    <w:rsid w:val="00461860"/>
    <w:rsid w:val="00462293"/>
    <w:rsid w:val="004627BC"/>
    <w:rsid w:val="00462821"/>
    <w:rsid w:val="00462E3F"/>
    <w:rsid w:val="00462FD8"/>
    <w:rsid w:val="00463370"/>
    <w:rsid w:val="00463B66"/>
    <w:rsid w:val="00464F6D"/>
    <w:rsid w:val="00465580"/>
    <w:rsid w:val="00466467"/>
    <w:rsid w:val="004665C8"/>
    <w:rsid w:val="00466FF0"/>
    <w:rsid w:val="004700DA"/>
    <w:rsid w:val="0047176E"/>
    <w:rsid w:val="00471985"/>
    <w:rsid w:val="00472E7B"/>
    <w:rsid w:val="0047360D"/>
    <w:rsid w:val="004738C4"/>
    <w:rsid w:val="00474190"/>
    <w:rsid w:val="004741AB"/>
    <w:rsid w:val="00474F56"/>
    <w:rsid w:val="00475115"/>
    <w:rsid w:val="00475990"/>
    <w:rsid w:val="00476989"/>
    <w:rsid w:val="00476BAA"/>
    <w:rsid w:val="004815A2"/>
    <w:rsid w:val="004822B2"/>
    <w:rsid w:val="00483EEE"/>
    <w:rsid w:val="0048497D"/>
    <w:rsid w:val="00484B5E"/>
    <w:rsid w:val="00485B08"/>
    <w:rsid w:val="00485C0E"/>
    <w:rsid w:val="00485EBA"/>
    <w:rsid w:val="00486797"/>
    <w:rsid w:val="004874C3"/>
    <w:rsid w:val="00487588"/>
    <w:rsid w:val="00487FE5"/>
    <w:rsid w:val="004909D0"/>
    <w:rsid w:val="00491317"/>
    <w:rsid w:val="004913FA"/>
    <w:rsid w:val="00491E5F"/>
    <w:rsid w:val="00491F91"/>
    <w:rsid w:val="00492A06"/>
    <w:rsid w:val="004933B0"/>
    <w:rsid w:val="00493A81"/>
    <w:rsid w:val="004943F1"/>
    <w:rsid w:val="0049479A"/>
    <w:rsid w:val="00494D8F"/>
    <w:rsid w:val="004950DA"/>
    <w:rsid w:val="00495132"/>
    <w:rsid w:val="00495355"/>
    <w:rsid w:val="00495445"/>
    <w:rsid w:val="00495802"/>
    <w:rsid w:val="00496266"/>
    <w:rsid w:val="00496512"/>
    <w:rsid w:val="004969C0"/>
    <w:rsid w:val="0049718E"/>
    <w:rsid w:val="0049769D"/>
    <w:rsid w:val="00497BF6"/>
    <w:rsid w:val="00497CBB"/>
    <w:rsid w:val="00497D33"/>
    <w:rsid w:val="00497F31"/>
    <w:rsid w:val="004A038A"/>
    <w:rsid w:val="004A08E6"/>
    <w:rsid w:val="004A0D3D"/>
    <w:rsid w:val="004A0D91"/>
    <w:rsid w:val="004A1766"/>
    <w:rsid w:val="004A2459"/>
    <w:rsid w:val="004A278C"/>
    <w:rsid w:val="004A2E18"/>
    <w:rsid w:val="004A3626"/>
    <w:rsid w:val="004A3CC4"/>
    <w:rsid w:val="004A5E46"/>
    <w:rsid w:val="004A6783"/>
    <w:rsid w:val="004A6E8C"/>
    <w:rsid w:val="004A7BCA"/>
    <w:rsid w:val="004A7D2F"/>
    <w:rsid w:val="004B083C"/>
    <w:rsid w:val="004B146D"/>
    <w:rsid w:val="004B1ED1"/>
    <w:rsid w:val="004B2313"/>
    <w:rsid w:val="004B283D"/>
    <w:rsid w:val="004B2A61"/>
    <w:rsid w:val="004B409B"/>
    <w:rsid w:val="004B41A2"/>
    <w:rsid w:val="004B431C"/>
    <w:rsid w:val="004B53CB"/>
    <w:rsid w:val="004B5BD8"/>
    <w:rsid w:val="004B5BF7"/>
    <w:rsid w:val="004B6630"/>
    <w:rsid w:val="004B7B50"/>
    <w:rsid w:val="004B7EB8"/>
    <w:rsid w:val="004C0210"/>
    <w:rsid w:val="004C190B"/>
    <w:rsid w:val="004C1AB5"/>
    <w:rsid w:val="004C1D9B"/>
    <w:rsid w:val="004C2544"/>
    <w:rsid w:val="004C3370"/>
    <w:rsid w:val="004C413C"/>
    <w:rsid w:val="004C43F7"/>
    <w:rsid w:val="004C5FF9"/>
    <w:rsid w:val="004C6457"/>
    <w:rsid w:val="004C6C89"/>
    <w:rsid w:val="004C78EF"/>
    <w:rsid w:val="004C7D66"/>
    <w:rsid w:val="004D02B6"/>
    <w:rsid w:val="004D02E2"/>
    <w:rsid w:val="004D076A"/>
    <w:rsid w:val="004D09E7"/>
    <w:rsid w:val="004D0A42"/>
    <w:rsid w:val="004D0C34"/>
    <w:rsid w:val="004D0DC3"/>
    <w:rsid w:val="004D1123"/>
    <w:rsid w:val="004D1C44"/>
    <w:rsid w:val="004D1CC5"/>
    <w:rsid w:val="004D1E46"/>
    <w:rsid w:val="004D20A1"/>
    <w:rsid w:val="004D25A1"/>
    <w:rsid w:val="004D3F65"/>
    <w:rsid w:val="004D45FC"/>
    <w:rsid w:val="004D6658"/>
    <w:rsid w:val="004D7055"/>
    <w:rsid w:val="004D7155"/>
    <w:rsid w:val="004D74A8"/>
    <w:rsid w:val="004D7832"/>
    <w:rsid w:val="004D7D4B"/>
    <w:rsid w:val="004D7FC1"/>
    <w:rsid w:val="004E056D"/>
    <w:rsid w:val="004E0F4D"/>
    <w:rsid w:val="004E1248"/>
    <w:rsid w:val="004E148C"/>
    <w:rsid w:val="004E1563"/>
    <w:rsid w:val="004E16ED"/>
    <w:rsid w:val="004E1DCE"/>
    <w:rsid w:val="004E36DC"/>
    <w:rsid w:val="004E3DDE"/>
    <w:rsid w:val="004E40AA"/>
    <w:rsid w:val="004E555E"/>
    <w:rsid w:val="004E566B"/>
    <w:rsid w:val="004E5B42"/>
    <w:rsid w:val="004E64ED"/>
    <w:rsid w:val="004E661B"/>
    <w:rsid w:val="004E6F1F"/>
    <w:rsid w:val="004E755C"/>
    <w:rsid w:val="004E7666"/>
    <w:rsid w:val="004E76F6"/>
    <w:rsid w:val="004F00BB"/>
    <w:rsid w:val="004F00EF"/>
    <w:rsid w:val="004F0BB8"/>
    <w:rsid w:val="004F12B3"/>
    <w:rsid w:val="004F1362"/>
    <w:rsid w:val="004F1B40"/>
    <w:rsid w:val="004F24E1"/>
    <w:rsid w:val="004F43CC"/>
    <w:rsid w:val="004F47E2"/>
    <w:rsid w:val="004F53A2"/>
    <w:rsid w:val="004F58D4"/>
    <w:rsid w:val="004F62BE"/>
    <w:rsid w:val="004F67B2"/>
    <w:rsid w:val="004F6D4C"/>
    <w:rsid w:val="004F6F41"/>
    <w:rsid w:val="004F7158"/>
    <w:rsid w:val="00500870"/>
    <w:rsid w:val="0050099C"/>
    <w:rsid w:val="005010B1"/>
    <w:rsid w:val="00501A9E"/>
    <w:rsid w:val="00501C61"/>
    <w:rsid w:val="00503B9E"/>
    <w:rsid w:val="00503F13"/>
    <w:rsid w:val="00504050"/>
    <w:rsid w:val="005043B5"/>
    <w:rsid w:val="00504C1A"/>
    <w:rsid w:val="00504D7B"/>
    <w:rsid w:val="00505D79"/>
    <w:rsid w:val="0050628E"/>
    <w:rsid w:val="00507332"/>
    <w:rsid w:val="005074D1"/>
    <w:rsid w:val="005077C0"/>
    <w:rsid w:val="005101D3"/>
    <w:rsid w:val="00510833"/>
    <w:rsid w:val="00510B01"/>
    <w:rsid w:val="00510B86"/>
    <w:rsid w:val="00511146"/>
    <w:rsid w:val="00511E79"/>
    <w:rsid w:val="00512452"/>
    <w:rsid w:val="00512606"/>
    <w:rsid w:val="00512F70"/>
    <w:rsid w:val="00513107"/>
    <w:rsid w:val="005134C0"/>
    <w:rsid w:val="00513C7C"/>
    <w:rsid w:val="00514845"/>
    <w:rsid w:val="00516BD8"/>
    <w:rsid w:val="005171C7"/>
    <w:rsid w:val="00517666"/>
    <w:rsid w:val="00517BDB"/>
    <w:rsid w:val="00520428"/>
    <w:rsid w:val="00520B88"/>
    <w:rsid w:val="005224D5"/>
    <w:rsid w:val="00523291"/>
    <w:rsid w:val="00524272"/>
    <w:rsid w:val="00524BD9"/>
    <w:rsid w:val="005261D9"/>
    <w:rsid w:val="00527F2D"/>
    <w:rsid w:val="00527F86"/>
    <w:rsid w:val="0053006A"/>
    <w:rsid w:val="0053092B"/>
    <w:rsid w:val="00532335"/>
    <w:rsid w:val="005335EB"/>
    <w:rsid w:val="00533662"/>
    <w:rsid w:val="00533AA9"/>
    <w:rsid w:val="00533CDE"/>
    <w:rsid w:val="00535397"/>
    <w:rsid w:val="00535480"/>
    <w:rsid w:val="005358BC"/>
    <w:rsid w:val="00535DDF"/>
    <w:rsid w:val="0053659B"/>
    <w:rsid w:val="00536D21"/>
    <w:rsid w:val="0053761E"/>
    <w:rsid w:val="005378C6"/>
    <w:rsid w:val="00540434"/>
    <w:rsid w:val="0054052A"/>
    <w:rsid w:val="00540855"/>
    <w:rsid w:val="005410B8"/>
    <w:rsid w:val="00542060"/>
    <w:rsid w:val="0054208E"/>
    <w:rsid w:val="005429E3"/>
    <w:rsid w:val="00542A38"/>
    <w:rsid w:val="00542C26"/>
    <w:rsid w:val="005431BE"/>
    <w:rsid w:val="00543210"/>
    <w:rsid w:val="0054417D"/>
    <w:rsid w:val="00544759"/>
    <w:rsid w:val="00544EE1"/>
    <w:rsid w:val="00544FD8"/>
    <w:rsid w:val="0054548A"/>
    <w:rsid w:val="00545EFE"/>
    <w:rsid w:val="005469A3"/>
    <w:rsid w:val="00546C17"/>
    <w:rsid w:val="00546DA7"/>
    <w:rsid w:val="00547366"/>
    <w:rsid w:val="0054755C"/>
    <w:rsid w:val="00547821"/>
    <w:rsid w:val="005479C8"/>
    <w:rsid w:val="0055108D"/>
    <w:rsid w:val="00551097"/>
    <w:rsid w:val="005511F1"/>
    <w:rsid w:val="00551B61"/>
    <w:rsid w:val="00551E96"/>
    <w:rsid w:val="00552676"/>
    <w:rsid w:val="00552778"/>
    <w:rsid w:val="00552BCA"/>
    <w:rsid w:val="00552EBE"/>
    <w:rsid w:val="00553532"/>
    <w:rsid w:val="00553845"/>
    <w:rsid w:val="0055431C"/>
    <w:rsid w:val="0055469D"/>
    <w:rsid w:val="0055476B"/>
    <w:rsid w:val="005548C6"/>
    <w:rsid w:val="005549F9"/>
    <w:rsid w:val="00554AAC"/>
    <w:rsid w:val="00555325"/>
    <w:rsid w:val="005553D3"/>
    <w:rsid w:val="005558C2"/>
    <w:rsid w:val="00555916"/>
    <w:rsid w:val="005577C3"/>
    <w:rsid w:val="00557CD9"/>
    <w:rsid w:val="00557FD2"/>
    <w:rsid w:val="00560366"/>
    <w:rsid w:val="005609C3"/>
    <w:rsid w:val="00560C59"/>
    <w:rsid w:val="00561617"/>
    <w:rsid w:val="00561619"/>
    <w:rsid w:val="00562CAB"/>
    <w:rsid w:val="0056384C"/>
    <w:rsid w:val="005648F0"/>
    <w:rsid w:val="00564F4B"/>
    <w:rsid w:val="00565404"/>
    <w:rsid w:val="0056579D"/>
    <w:rsid w:val="005664F2"/>
    <w:rsid w:val="005670A4"/>
    <w:rsid w:val="00567AF1"/>
    <w:rsid w:val="00567E3A"/>
    <w:rsid w:val="005702D9"/>
    <w:rsid w:val="00571104"/>
    <w:rsid w:val="005713FB"/>
    <w:rsid w:val="0057297B"/>
    <w:rsid w:val="00572BD8"/>
    <w:rsid w:val="0057316F"/>
    <w:rsid w:val="005731FF"/>
    <w:rsid w:val="005735DF"/>
    <w:rsid w:val="00573F0A"/>
    <w:rsid w:val="00575492"/>
    <w:rsid w:val="00575586"/>
    <w:rsid w:val="00575CE9"/>
    <w:rsid w:val="005764E6"/>
    <w:rsid w:val="00577D8C"/>
    <w:rsid w:val="00580594"/>
    <w:rsid w:val="00580758"/>
    <w:rsid w:val="00580EF1"/>
    <w:rsid w:val="0058162F"/>
    <w:rsid w:val="00581E3B"/>
    <w:rsid w:val="00582336"/>
    <w:rsid w:val="00582B1D"/>
    <w:rsid w:val="00583605"/>
    <w:rsid w:val="005838A1"/>
    <w:rsid w:val="005842C0"/>
    <w:rsid w:val="00584B13"/>
    <w:rsid w:val="00584CCC"/>
    <w:rsid w:val="00585DE0"/>
    <w:rsid w:val="00586125"/>
    <w:rsid w:val="0058633F"/>
    <w:rsid w:val="00586B6E"/>
    <w:rsid w:val="00586D44"/>
    <w:rsid w:val="005875CE"/>
    <w:rsid w:val="00587725"/>
    <w:rsid w:val="00587A21"/>
    <w:rsid w:val="005901C9"/>
    <w:rsid w:val="00590BB9"/>
    <w:rsid w:val="00592B22"/>
    <w:rsid w:val="00593A9E"/>
    <w:rsid w:val="00594A87"/>
    <w:rsid w:val="00594FBC"/>
    <w:rsid w:val="00595C66"/>
    <w:rsid w:val="0059617E"/>
    <w:rsid w:val="00596E52"/>
    <w:rsid w:val="00596EE9"/>
    <w:rsid w:val="005970D8"/>
    <w:rsid w:val="0059722F"/>
    <w:rsid w:val="00597A84"/>
    <w:rsid w:val="00597E82"/>
    <w:rsid w:val="005A0014"/>
    <w:rsid w:val="005A01E3"/>
    <w:rsid w:val="005A0228"/>
    <w:rsid w:val="005A0DFE"/>
    <w:rsid w:val="005A1BAE"/>
    <w:rsid w:val="005A235F"/>
    <w:rsid w:val="005A28D6"/>
    <w:rsid w:val="005A2C28"/>
    <w:rsid w:val="005A3E6E"/>
    <w:rsid w:val="005A3F59"/>
    <w:rsid w:val="005A5274"/>
    <w:rsid w:val="005A5CF0"/>
    <w:rsid w:val="005A71BA"/>
    <w:rsid w:val="005A7228"/>
    <w:rsid w:val="005A7636"/>
    <w:rsid w:val="005A7CE1"/>
    <w:rsid w:val="005B00C4"/>
    <w:rsid w:val="005B0878"/>
    <w:rsid w:val="005B0BF1"/>
    <w:rsid w:val="005B0DEB"/>
    <w:rsid w:val="005B1CA2"/>
    <w:rsid w:val="005B2C80"/>
    <w:rsid w:val="005B350A"/>
    <w:rsid w:val="005B3617"/>
    <w:rsid w:val="005B6002"/>
    <w:rsid w:val="005B6127"/>
    <w:rsid w:val="005B7A49"/>
    <w:rsid w:val="005C0619"/>
    <w:rsid w:val="005C12DE"/>
    <w:rsid w:val="005C5381"/>
    <w:rsid w:val="005C6965"/>
    <w:rsid w:val="005C75CC"/>
    <w:rsid w:val="005C7C54"/>
    <w:rsid w:val="005C7D95"/>
    <w:rsid w:val="005C7F34"/>
    <w:rsid w:val="005D0881"/>
    <w:rsid w:val="005D20CD"/>
    <w:rsid w:val="005D2AE0"/>
    <w:rsid w:val="005D4762"/>
    <w:rsid w:val="005D4EFB"/>
    <w:rsid w:val="005D530E"/>
    <w:rsid w:val="005D53DE"/>
    <w:rsid w:val="005D5904"/>
    <w:rsid w:val="005D653B"/>
    <w:rsid w:val="005D69AF"/>
    <w:rsid w:val="005D6FF6"/>
    <w:rsid w:val="005D76EC"/>
    <w:rsid w:val="005D7ACC"/>
    <w:rsid w:val="005E0742"/>
    <w:rsid w:val="005E2596"/>
    <w:rsid w:val="005E25FA"/>
    <w:rsid w:val="005E3563"/>
    <w:rsid w:val="005E38CD"/>
    <w:rsid w:val="005E45C9"/>
    <w:rsid w:val="005E4B53"/>
    <w:rsid w:val="005E4FD7"/>
    <w:rsid w:val="005E5773"/>
    <w:rsid w:val="005E5D59"/>
    <w:rsid w:val="005E6183"/>
    <w:rsid w:val="005E6450"/>
    <w:rsid w:val="005E68BA"/>
    <w:rsid w:val="005E70B4"/>
    <w:rsid w:val="005E71E7"/>
    <w:rsid w:val="005F080C"/>
    <w:rsid w:val="005F0A3D"/>
    <w:rsid w:val="005F0A9B"/>
    <w:rsid w:val="005F0BC9"/>
    <w:rsid w:val="005F26B8"/>
    <w:rsid w:val="005F2AE6"/>
    <w:rsid w:val="005F2E63"/>
    <w:rsid w:val="005F3C76"/>
    <w:rsid w:val="005F4BE9"/>
    <w:rsid w:val="005F4C23"/>
    <w:rsid w:val="005F4CB3"/>
    <w:rsid w:val="005F4D45"/>
    <w:rsid w:val="005F570D"/>
    <w:rsid w:val="005F5E6F"/>
    <w:rsid w:val="005F6B61"/>
    <w:rsid w:val="005F6C87"/>
    <w:rsid w:val="005F7B8A"/>
    <w:rsid w:val="00600805"/>
    <w:rsid w:val="00600D53"/>
    <w:rsid w:val="00601F9E"/>
    <w:rsid w:val="0060244F"/>
    <w:rsid w:val="0060273D"/>
    <w:rsid w:val="006036EC"/>
    <w:rsid w:val="006037A9"/>
    <w:rsid w:val="00603B7A"/>
    <w:rsid w:val="00603BCD"/>
    <w:rsid w:val="006048BC"/>
    <w:rsid w:val="00605408"/>
    <w:rsid w:val="00605B55"/>
    <w:rsid w:val="00605EAA"/>
    <w:rsid w:val="006062DE"/>
    <w:rsid w:val="00606DC3"/>
    <w:rsid w:val="006100BB"/>
    <w:rsid w:val="0061075B"/>
    <w:rsid w:val="00610A5D"/>
    <w:rsid w:val="0061101B"/>
    <w:rsid w:val="006114BF"/>
    <w:rsid w:val="00611A12"/>
    <w:rsid w:val="006122DD"/>
    <w:rsid w:val="00612443"/>
    <w:rsid w:val="00612CF3"/>
    <w:rsid w:val="00613272"/>
    <w:rsid w:val="00613353"/>
    <w:rsid w:val="00613C15"/>
    <w:rsid w:val="00614E2F"/>
    <w:rsid w:val="00614ECA"/>
    <w:rsid w:val="00615416"/>
    <w:rsid w:val="00615512"/>
    <w:rsid w:val="00615D70"/>
    <w:rsid w:val="00615EB1"/>
    <w:rsid w:val="006202E6"/>
    <w:rsid w:val="006208EA"/>
    <w:rsid w:val="00620F56"/>
    <w:rsid w:val="00621168"/>
    <w:rsid w:val="006213F7"/>
    <w:rsid w:val="00621951"/>
    <w:rsid w:val="00622BC4"/>
    <w:rsid w:val="00622E3D"/>
    <w:rsid w:val="006236FE"/>
    <w:rsid w:val="00623C33"/>
    <w:rsid w:val="00624822"/>
    <w:rsid w:val="00625A12"/>
    <w:rsid w:val="00626234"/>
    <w:rsid w:val="006262FA"/>
    <w:rsid w:val="00626EC8"/>
    <w:rsid w:val="00627187"/>
    <w:rsid w:val="00627A8E"/>
    <w:rsid w:val="00630474"/>
    <w:rsid w:val="00630D66"/>
    <w:rsid w:val="00630EFD"/>
    <w:rsid w:val="006312B9"/>
    <w:rsid w:val="006313AE"/>
    <w:rsid w:val="006319B0"/>
    <w:rsid w:val="006319B4"/>
    <w:rsid w:val="00631A9E"/>
    <w:rsid w:val="0063233A"/>
    <w:rsid w:val="00633A13"/>
    <w:rsid w:val="00633B3F"/>
    <w:rsid w:val="00633E5B"/>
    <w:rsid w:val="00633F7C"/>
    <w:rsid w:val="006344E4"/>
    <w:rsid w:val="006344FD"/>
    <w:rsid w:val="00634814"/>
    <w:rsid w:val="00634C21"/>
    <w:rsid w:val="00635480"/>
    <w:rsid w:val="006356E2"/>
    <w:rsid w:val="006357E4"/>
    <w:rsid w:val="00635B3B"/>
    <w:rsid w:val="00635C0B"/>
    <w:rsid w:val="00636686"/>
    <w:rsid w:val="006368CC"/>
    <w:rsid w:val="006379FF"/>
    <w:rsid w:val="006400FA"/>
    <w:rsid w:val="00640238"/>
    <w:rsid w:val="00640A75"/>
    <w:rsid w:val="00640FD0"/>
    <w:rsid w:val="006410BF"/>
    <w:rsid w:val="00641161"/>
    <w:rsid w:val="00641257"/>
    <w:rsid w:val="00641553"/>
    <w:rsid w:val="00641D06"/>
    <w:rsid w:val="006425A5"/>
    <w:rsid w:val="00642B92"/>
    <w:rsid w:val="00644161"/>
    <w:rsid w:val="0064487F"/>
    <w:rsid w:val="00644992"/>
    <w:rsid w:val="0064545A"/>
    <w:rsid w:val="00645BCC"/>
    <w:rsid w:val="00645E7A"/>
    <w:rsid w:val="00646549"/>
    <w:rsid w:val="00646D80"/>
    <w:rsid w:val="006470EA"/>
    <w:rsid w:val="00647800"/>
    <w:rsid w:val="006501DA"/>
    <w:rsid w:val="006502E2"/>
    <w:rsid w:val="00650360"/>
    <w:rsid w:val="00650646"/>
    <w:rsid w:val="00650750"/>
    <w:rsid w:val="00651207"/>
    <w:rsid w:val="0065185F"/>
    <w:rsid w:val="00652316"/>
    <w:rsid w:val="00652F2A"/>
    <w:rsid w:val="006533EF"/>
    <w:rsid w:val="00653F9C"/>
    <w:rsid w:val="00654BC7"/>
    <w:rsid w:val="00654F7A"/>
    <w:rsid w:val="00654FCD"/>
    <w:rsid w:val="006560BA"/>
    <w:rsid w:val="00656557"/>
    <w:rsid w:val="00657A3D"/>
    <w:rsid w:val="00660908"/>
    <w:rsid w:val="00661681"/>
    <w:rsid w:val="0066395F"/>
    <w:rsid w:val="00664092"/>
    <w:rsid w:val="00664489"/>
    <w:rsid w:val="006647AB"/>
    <w:rsid w:val="0066488F"/>
    <w:rsid w:val="00664B5A"/>
    <w:rsid w:val="00664CCB"/>
    <w:rsid w:val="006669A9"/>
    <w:rsid w:val="00667F26"/>
    <w:rsid w:val="00670087"/>
    <w:rsid w:val="006714BB"/>
    <w:rsid w:val="00671655"/>
    <w:rsid w:val="0067261C"/>
    <w:rsid w:val="00673064"/>
    <w:rsid w:val="00673AC6"/>
    <w:rsid w:val="00674340"/>
    <w:rsid w:val="006747C8"/>
    <w:rsid w:val="00674872"/>
    <w:rsid w:val="00674D12"/>
    <w:rsid w:val="00675A16"/>
    <w:rsid w:val="00676275"/>
    <w:rsid w:val="00676628"/>
    <w:rsid w:val="006769F6"/>
    <w:rsid w:val="00676A9B"/>
    <w:rsid w:val="006803BA"/>
    <w:rsid w:val="0068047D"/>
    <w:rsid w:val="00680C94"/>
    <w:rsid w:val="00681202"/>
    <w:rsid w:val="0068175D"/>
    <w:rsid w:val="0068368E"/>
    <w:rsid w:val="006846A6"/>
    <w:rsid w:val="00684930"/>
    <w:rsid w:val="006849B9"/>
    <w:rsid w:val="00684C54"/>
    <w:rsid w:val="006855EC"/>
    <w:rsid w:val="00685A75"/>
    <w:rsid w:val="0068651F"/>
    <w:rsid w:val="00687DCE"/>
    <w:rsid w:val="006905F9"/>
    <w:rsid w:val="00690670"/>
    <w:rsid w:val="006912C6"/>
    <w:rsid w:val="00691486"/>
    <w:rsid w:val="00691FE5"/>
    <w:rsid w:val="00692AE8"/>
    <w:rsid w:val="0069429B"/>
    <w:rsid w:val="00694943"/>
    <w:rsid w:val="00694BFD"/>
    <w:rsid w:val="00694C36"/>
    <w:rsid w:val="00695970"/>
    <w:rsid w:val="00695B81"/>
    <w:rsid w:val="00695C73"/>
    <w:rsid w:val="00696462"/>
    <w:rsid w:val="00696776"/>
    <w:rsid w:val="006972B5"/>
    <w:rsid w:val="00697615"/>
    <w:rsid w:val="00697983"/>
    <w:rsid w:val="006A056E"/>
    <w:rsid w:val="006A081B"/>
    <w:rsid w:val="006A0939"/>
    <w:rsid w:val="006A11AF"/>
    <w:rsid w:val="006A1977"/>
    <w:rsid w:val="006A19DC"/>
    <w:rsid w:val="006A2684"/>
    <w:rsid w:val="006A3E8B"/>
    <w:rsid w:val="006A43D0"/>
    <w:rsid w:val="006A44BB"/>
    <w:rsid w:val="006A45A3"/>
    <w:rsid w:val="006A4BCB"/>
    <w:rsid w:val="006A4F3E"/>
    <w:rsid w:val="006A522F"/>
    <w:rsid w:val="006A54CC"/>
    <w:rsid w:val="006A7AEA"/>
    <w:rsid w:val="006A7F41"/>
    <w:rsid w:val="006B0089"/>
    <w:rsid w:val="006B16C2"/>
    <w:rsid w:val="006B17CA"/>
    <w:rsid w:val="006B30CB"/>
    <w:rsid w:val="006B31F3"/>
    <w:rsid w:val="006B44CD"/>
    <w:rsid w:val="006B52E4"/>
    <w:rsid w:val="006B5482"/>
    <w:rsid w:val="006B5F8E"/>
    <w:rsid w:val="006B6528"/>
    <w:rsid w:val="006B6756"/>
    <w:rsid w:val="006B6A0B"/>
    <w:rsid w:val="006B6A59"/>
    <w:rsid w:val="006B7150"/>
    <w:rsid w:val="006B72C5"/>
    <w:rsid w:val="006B7363"/>
    <w:rsid w:val="006C16F0"/>
    <w:rsid w:val="006C1738"/>
    <w:rsid w:val="006C1E2F"/>
    <w:rsid w:val="006C3394"/>
    <w:rsid w:val="006C34B3"/>
    <w:rsid w:val="006C3BC0"/>
    <w:rsid w:val="006C461B"/>
    <w:rsid w:val="006C58D2"/>
    <w:rsid w:val="006C5D64"/>
    <w:rsid w:val="006C5FC7"/>
    <w:rsid w:val="006C6774"/>
    <w:rsid w:val="006C6DE0"/>
    <w:rsid w:val="006C7005"/>
    <w:rsid w:val="006D00DC"/>
    <w:rsid w:val="006D0441"/>
    <w:rsid w:val="006D0B8C"/>
    <w:rsid w:val="006D0D3C"/>
    <w:rsid w:val="006D14C4"/>
    <w:rsid w:val="006D2733"/>
    <w:rsid w:val="006D2F17"/>
    <w:rsid w:val="006D2FE4"/>
    <w:rsid w:val="006D31F0"/>
    <w:rsid w:val="006D4863"/>
    <w:rsid w:val="006D5121"/>
    <w:rsid w:val="006D6223"/>
    <w:rsid w:val="006D7623"/>
    <w:rsid w:val="006D7B51"/>
    <w:rsid w:val="006E09F8"/>
    <w:rsid w:val="006E0E6A"/>
    <w:rsid w:val="006E1238"/>
    <w:rsid w:val="006E1AD4"/>
    <w:rsid w:val="006E1DD0"/>
    <w:rsid w:val="006E1F50"/>
    <w:rsid w:val="006E295E"/>
    <w:rsid w:val="006E3681"/>
    <w:rsid w:val="006E3E5F"/>
    <w:rsid w:val="006E3F0E"/>
    <w:rsid w:val="006E4A5E"/>
    <w:rsid w:val="006E4D40"/>
    <w:rsid w:val="006E5247"/>
    <w:rsid w:val="006E5464"/>
    <w:rsid w:val="006E6822"/>
    <w:rsid w:val="006E7148"/>
    <w:rsid w:val="006E7975"/>
    <w:rsid w:val="006E7C6A"/>
    <w:rsid w:val="006E7F04"/>
    <w:rsid w:val="006F0686"/>
    <w:rsid w:val="006F0B2E"/>
    <w:rsid w:val="006F0D9C"/>
    <w:rsid w:val="006F1447"/>
    <w:rsid w:val="006F19DD"/>
    <w:rsid w:val="006F1DBF"/>
    <w:rsid w:val="006F2101"/>
    <w:rsid w:val="006F3AAA"/>
    <w:rsid w:val="006F3B1C"/>
    <w:rsid w:val="006F3B50"/>
    <w:rsid w:val="006F3FA5"/>
    <w:rsid w:val="006F5237"/>
    <w:rsid w:val="006F6684"/>
    <w:rsid w:val="006F6D47"/>
    <w:rsid w:val="006F7A15"/>
    <w:rsid w:val="007008F1"/>
    <w:rsid w:val="00700AAF"/>
    <w:rsid w:val="00700EE2"/>
    <w:rsid w:val="00701710"/>
    <w:rsid w:val="00703A68"/>
    <w:rsid w:val="00703C50"/>
    <w:rsid w:val="0070403F"/>
    <w:rsid w:val="00704060"/>
    <w:rsid w:val="00704A31"/>
    <w:rsid w:val="007053B1"/>
    <w:rsid w:val="007058E1"/>
    <w:rsid w:val="0070595E"/>
    <w:rsid w:val="00705F43"/>
    <w:rsid w:val="00705FBC"/>
    <w:rsid w:val="00706264"/>
    <w:rsid w:val="007064FD"/>
    <w:rsid w:val="00706957"/>
    <w:rsid w:val="00706B38"/>
    <w:rsid w:val="00707C65"/>
    <w:rsid w:val="00711624"/>
    <w:rsid w:val="00711ADE"/>
    <w:rsid w:val="00711B6F"/>
    <w:rsid w:val="00712984"/>
    <w:rsid w:val="0071305A"/>
    <w:rsid w:val="007133F0"/>
    <w:rsid w:val="00713BD4"/>
    <w:rsid w:val="00713CEC"/>
    <w:rsid w:val="00714240"/>
    <w:rsid w:val="007145C4"/>
    <w:rsid w:val="007147D6"/>
    <w:rsid w:val="00714975"/>
    <w:rsid w:val="00714CED"/>
    <w:rsid w:val="00714D06"/>
    <w:rsid w:val="007152C8"/>
    <w:rsid w:val="00715558"/>
    <w:rsid w:val="00715FF0"/>
    <w:rsid w:val="0071695A"/>
    <w:rsid w:val="00716C59"/>
    <w:rsid w:val="007211BA"/>
    <w:rsid w:val="00722388"/>
    <w:rsid w:val="00722604"/>
    <w:rsid w:val="00722AFE"/>
    <w:rsid w:val="00722B76"/>
    <w:rsid w:val="00722F2E"/>
    <w:rsid w:val="007246E4"/>
    <w:rsid w:val="00724817"/>
    <w:rsid w:val="00726337"/>
    <w:rsid w:val="0072684C"/>
    <w:rsid w:val="00726B83"/>
    <w:rsid w:val="007271EF"/>
    <w:rsid w:val="00727CC6"/>
    <w:rsid w:val="00727EA7"/>
    <w:rsid w:val="00731E9F"/>
    <w:rsid w:val="00731FC4"/>
    <w:rsid w:val="00732534"/>
    <w:rsid w:val="00733BCB"/>
    <w:rsid w:val="00734834"/>
    <w:rsid w:val="007348D7"/>
    <w:rsid w:val="00734AB0"/>
    <w:rsid w:val="007351D7"/>
    <w:rsid w:val="00735CB4"/>
    <w:rsid w:val="0073618A"/>
    <w:rsid w:val="007365A9"/>
    <w:rsid w:val="007368BA"/>
    <w:rsid w:val="00736C39"/>
    <w:rsid w:val="00737EA4"/>
    <w:rsid w:val="00737EC3"/>
    <w:rsid w:val="00740323"/>
    <w:rsid w:val="0074067C"/>
    <w:rsid w:val="007406C8"/>
    <w:rsid w:val="00740764"/>
    <w:rsid w:val="007411F8"/>
    <w:rsid w:val="0074162B"/>
    <w:rsid w:val="00741C4F"/>
    <w:rsid w:val="00742C68"/>
    <w:rsid w:val="0074354D"/>
    <w:rsid w:val="007436EE"/>
    <w:rsid w:val="00743A6C"/>
    <w:rsid w:val="007455F7"/>
    <w:rsid w:val="007458CD"/>
    <w:rsid w:val="007464DC"/>
    <w:rsid w:val="00746E4D"/>
    <w:rsid w:val="007475BF"/>
    <w:rsid w:val="007477C3"/>
    <w:rsid w:val="007479D3"/>
    <w:rsid w:val="007506A3"/>
    <w:rsid w:val="0075118C"/>
    <w:rsid w:val="0075292B"/>
    <w:rsid w:val="00752E5C"/>
    <w:rsid w:val="00752F05"/>
    <w:rsid w:val="007535B8"/>
    <w:rsid w:val="0075364C"/>
    <w:rsid w:val="00753804"/>
    <w:rsid w:val="00754F88"/>
    <w:rsid w:val="0075644F"/>
    <w:rsid w:val="007564D2"/>
    <w:rsid w:val="00756768"/>
    <w:rsid w:val="00756D32"/>
    <w:rsid w:val="007572B1"/>
    <w:rsid w:val="007577C7"/>
    <w:rsid w:val="00760305"/>
    <w:rsid w:val="007606EA"/>
    <w:rsid w:val="00761606"/>
    <w:rsid w:val="0076160A"/>
    <w:rsid w:val="00762033"/>
    <w:rsid w:val="007625C8"/>
    <w:rsid w:val="00763700"/>
    <w:rsid w:val="00763C16"/>
    <w:rsid w:val="00764864"/>
    <w:rsid w:val="00765DAD"/>
    <w:rsid w:val="00766DE3"/>
    <w:rsid w:val="00767F67"/>
    <w:rsid w:val="0077112D"/>
    <w:rsid w:val="00771B4F"/>
    <w:rsid w:val="00773491"/>
    <w:rsid w:val="00773525"/>
    <w:rsid w:val="007735D7"/>
    <w:rsid w:val="0077394F"/>
    <w:rsid w:val="0077418D"/>
    <w:rsid w:val="00774481"/>
    <w:rsid w:val="00774A43"/>
    <w:rsid w:val="00775A75"/>
    <w:rsid w:val="00775E2A"/>
    <w:rsid w:val="0077605F"/>
    <w:rsid w:val="00777D5A"/>
    <w:rsid w:val="00777F10"/>
    <w:rsid w:val="007800D9"/>
    <w:rsid w:val="00780617"/>
    <w:rsid w:val="00781561"/>
    <w:rsid w:val="00781605"/>
    <w:rsid w:val="007817BA"/>
    <w:rsid w:val="00781AD6"/>
    <w:rsid w:val="00782469"/>
    <w:rsid w:val="00782C51"/>
    <w:rsid w:val="00783247"/>
    <w:rsid w:val="00783ACE"/>
    <w:rsid w:val="007841CC"/>
    <w:rsid w:val="007844BE"/>
    <w:rsid w:val="007847F9"/>
    <w:rsid w:val="00785498"/>
    <w:rsid w:val="007872C7"/>
    <w:rsid w:val="00787C0F"/>
    <w:rsid w:val="00787CC8"/>
    <w:rsid w:val="0079096D"/>
    <w:rsid w:val="00790E0D"/>
    <w:rsid w:val="00791044"/>
    <w:rsid w:val="00791594"/>
    <w:rsid w:val="00791AA7"/>
    <w:rsid w:val="00792227"/>
    <w:rsid w:val="00792A3C"/>
    <w:rsid w:val="0079351A"/>
    <w:rsid w:val="007936EB"/>
    <w:rsid w:val="007938F4"/>
    <w:rsid w:val="0079462C"/>
    <w:rsid w:val="00795ADD"/>
    <w:rsid w:val="00795E69"/>
    <w:rsid w:val="00796214"/>
    <w:rsid w:val="0079641C"/>
    <w:rsid w:val="00796888"/>
    <w:rsid w:val="007A00FD"/>
    <w:rsid w:val="007A0351"/>
    <w:rsid w:val="007A03B3"/>
    <w:rsid w:val="007A0649"/>
    <w:rsid w:val="007A0844"/>
    <w:rsid w:val="007A1049"/>
    <w:rsid w:val="007A10ED"/>
    <w:rsid w:val="007A1317"/>
    <w:rsid w:val="007A2087"/>
    <w:rsid w:val="007A28F9"/>
    <w:rsid w:val="007A4188"/>
    <w:rsid w:val="007A4493"/>
    <w:rsid w:val="007A479E"/>
    <w:rsid w:val="007A5B4D"/>
    <w:rsid w:val="007A5FD1"/>
    <w:rsid w:val="007A612D"/>
    <w:rsid w:val="007A64D7"/>
    <w:rsid w:val="007A71F7"/>
    <w:rsid w:val="007A7456"/>
    <w:rsid w:val="007B045E"/>
    <w:rsid w:val="007B0528"/>
    <w:rsid w:val="007B0ABF"/>
    <w:rsid w:val="007B0D0F"/>
    <w:rsid w:val="007B1053"/>
    <w:rsid w:val="007B12D8"/>
    <w:rsid w:val="007B1E9F"/>
    <w:rsid w:val="007B2813"/>
    <w:rsid w:val="007B2D1C"/>
    <w:rsid w:val="007B2D8C"/>
    <w:rsid w:val="007B36FF"/>
    <w:rsid w:val="007B3C0A"/>
    <w:rsid w:val="007B4EA3"/>
    <w:rsid w:val="007B5174"/>
    <w:rsid w:val="007B56D3"/>
    <w:rsid w:val="007B5858"/>
    <w:rsid w:val="007B587B"/>
    <w:rsid w:val="007B648D"/>
    <w:rsid w:val="007B6E98"/>
    <w:rsid w:val="007B70D5"/>
    <w:rsid w:val="007C189E"/>
    <w:rsid w:val="007C226E"/>
    <w:rsid w:val="007C23AC"/>
    <w:rsid w:val="007C2C84"/>
    <w:rsid w:val="007C34B1"/>
    <w:rsid w:val="007C376C"/>
    <w:rsid w:val="007C4639"/>
    <w:rsid w:val="007C5640"/>
    <w:rsid w:val="007C6421"/>
    <w:rsid w:val="007C6A6F"/>
    <w:rsid w:val="007D0B30"/>
    <w:rsid w:val="007D310B"/>
    <w:rsid w:val="007D4716"/>
    <w:rsid w:val="007D5347"/>
    <w:rsid w:val="007D5CA7"/>
    <w:rsid w:val="007D60BB"/>
    <w:rsid w:val="007D6100"/>
    <w:rsid w:val="007D6B9D"/>
    <w:rsid w:val="007E019A"/>
    <w:rsid w:val="007E06DD"/>
    <w:rsid w:val="007E0BC0"/>
    <w:rsid w:val="007E10C3"/>
    <w:rsid w:val="007E19A2"/>
    <w:rsid w:val="007E1BBB"/>
    <w:rsid w:val="007E213F"/>
    <w:rsid w:val="007E2BD0"/>
    <w:rsid w:val="007E342A"/>
    <w:rsid w:val="007E37D7"/>
    <w:rsid w:val="007E39F1"/>
    <w:rsid w:val="007E39FE"/>
    <w:rsid w:val="007E42B3"/>
    <w:rsid w:val="007E4730"/>
    <w:rsid w:val="007E4EF3"/>
    <w:rsid w:val="007E55A1"/>
    <w:rsid w:val="007E56FF"/>
    <w:rsid w:val="007E5AFF"/>
    <w:rsid w:val="007E6308"/>
    <w:rsid w:val="007E70AC"/>
    <w:rsid w:val="007E7A2A"/>
    <w:rsid w:val="007E7C64"/>
    <w:rsid w:val="007F0B32"/>
    <w:rsid w:val="007F0D38"/>
    <w:rsid w:val="007F164E"/>
    <w:rsid w:val="007F279E"/>
    <w:rsid w:val="007F29C4"/>
    <w:rsid w:val="007F3656"/>
    <w:rsid w:val="007F3696"/>
    <w:rsid w:val="007F374A"/>
    <w:rsid w:val="007F4C68"/>
    <w:rsid w:val="007F6140"/>
    <w:rsid w:val="007F63B9"/>
    <w:rsid w:val="007F6F60"/>
    <w:rsid w:val="007F7253"/>
    <w:rsid w:val="007F78CB"/>
    <w:rsid w:val="00800940"/>
    <w:rsid w:val="0080264E"/>
    <w:rsid w:val="0080303B"/>
    <w:rsid w:val="00803C02"/>
    <w:rsid w:val="00804088"/>
    <w:rsid w:val="008045AF"/>
    <w:rsid w:val="00804A78"/>
    <w:rsid w:val="00804B7E"/>
    <w:rsid w:val="00804F76"/>
    <w:rsid w:val="00805987"/>
    <w:rsid w:val="00805DCF"/>
    <w:rsid w:val="00806868"/>
    <w:rsid w:val="00806A23"/>
    <w:rsid w:val="0080703C"/>
    <w:rsid w:val="00810F9B"/>
    <w:rsid w:val="00811C22"/>
    <w:rsid w:val="00812D58"/>
    <w:rsid w:val="00813182"/>
    <w:rsid w:val="0081413E"/>
    <w:rsid w:val="008155D9"/>
    <w:rsid w:val="00815DCF"/>
    <w:rsid w:val="008166FB"/>
    <w:rsid w:val="00817038"/>
    <w:rsid w:val="00817F44"/>
    <w:rsid w:val="008207B3"/>
    <w:rsid w:val="0082118E"/>
    <w:rsid w:val="008215C7"/>
    <w:rsid w:val="00821B3A"/>
    <w:rsid w:val="0082413F"/>
    <w:rsid w:val="00824927"/>
    <w:rsid w:val="00825014"/>
    <w:rsid w:val="00825425"/>
    <w:rsid w:val="008254C2"/>
    <w:rsid w:val="0082617E"/>
    <w:rsid w:val="008266B4"/>
    <w:rsid w:val="008266FB"/>
    <w:rsid w:val="00826B9F"/>
    <w:rsid w:val="00826D6D"/>
    <w:rsid w:val="0082709A"/>
    <w:rsid w:val="00827789"/>
    <w:rsid w:val="00827A6D"/>
    <w:rsid w:val="00827EE7"/>
    <w:rsid w:val="0083080B"/>
    <w:rsid w:val="00830B08"/>
    <w:rsid w:val="00830C95"/>
    <w:rsid w:val="00830E8D"/>
    <w:rsid w:val="00831526"/>
    <w:rsid w:val="00831671"/>
    <w:rsid w:val="0083271C"/>
    <w:rsid w:val="0083294B"/>
    <w:rsid w:val="0083325A"/>
    <w:rsid w:val="00833CA7"/>
    <w:rsid w:val="0083464A"/>
    <w:rsid w:val="00834E07"/>
    <w:rsid w:val="00835B04"/>
    <w:rsid w:val="00835F29"/>
    <w:rsid w:val="00836295"/>
    <w:rsid w:val="00836401"/>
    <w:rsid w:val="00837381"/>
    <w:rsid w:val="008376E2"/>
    <w:rsid w:val="00837908"/>
    <w:rsid w:val="00840552"/>
    <w:rsid w:val="00841726"/>
    <w:rsid w:val="008419F1"/>
    <w:rsid w:val="00842139"/>
    <w:rsid w:val="00842B9C"/>
    <w:rsid w:val="00842D2E"/>
    <w:rsid w:val="00843395"/>
    <w:rsid w:val="00843A9B"/>
    <w:rsid w:val="008440F7"/>
    <w:rsid w:val="008445C8"/>
    <w:rsid w:val="0084472E"/>
    <w:rsid w:val="00844EE1"/>
    <w:rsid w:val="0084535D"/>
    <w:rsid w:val="00845483"/>
    <w:rsid w:val="00845C1C"/>
    <w:rsid w:val="00845E90"/>
    <w:rsid w:val="0084630D"/>
    <w:rsid w:val="00846653"/>
    <w:rsid w:val="00846726"/>
    <w:rsid w:val="00847299"/>
    <w:rsid w:val="00847C5E"/>
    <w:rsid w:val="0085003F"/>
    <w:rsid w:val="008512DA"/>
    <w:rsid w:val="008512DF"/>
    <w:rsid w:val="008516EE"/>
    <w:rsid w:val="00851740"/>
    <w:rsid w:val="00851DD2"/>
    <w:rsid w:val="008530F9"/>
    <w:rsid w:val="00853839"/>
    <w:rsid w:val="008538F0"/>
    <w:rsid w:val="00853EA6"/>
    <w:rsid w:val="008541DC"/>
    <w:rsid w:val="00854E0A"/>
    <w:rsid w:val="008553E5"/>
    <w:rsid w:val="0085589E"/>
    <w:rsid w:val="00855AC6"/>
    <w:rsid w:val="008562C3"/>
    <w:rsid w:val="00856347"/>
    <w:rsid w:val="00856825"/>
    <w:rsid w:val="008571AF"/>
    <w:rsid w:val="0086014B"/>
    <w:rsid w:val="008603B2"/>
    <w:rsid w:val="0086045D"/>
    <w:rsid w:val="0086165C"/>
    <w:rsid w:val="00863493"/>
    <w:rsid w:val="008647E1"/>
    <w:rsid w:val="00864CCE"/>
    <w:rsid w:val="00864F09"/>
    <w:rsid w:val="00864F8D"/>
    <w:rsid w:val="0086719F"/>
    <w:rsid w:val="008678E0"/>
    <w:rsid w:val="00867A4F"/>
    <w:rsid w:val="00867FC6"/>
    <w:rsid w:val="00870517"/>
    <w:rsid w:val="0087171C"/>
    <w:rsid w:val="008717F0"/>
    <w:rsid w:val="00872127"/>
    <w:rsid w:val="008724A8"/>
    <w:rsid w:val="008731E6"/>
    <w:rsid w:val="00874266"/>
    <w:rsid w:val="008747C2"/>
    <w:rsid w:val="00875257"/>
    <w:rsid w:val="008757DB"/>
    <w:rsid w:val="00875A91"/>
    <w:rsid w:val="00876426"/>
    <w:rsid w:val="00876732"/>
    <w:rsid w:val="00876CFC"/>
    <w:rsid w:val="008773E5"/>
    <w:rsid w:val="008777DB"/>
    <w:rsid w:val="008779ED"/>
    <w:rsid w:val="008801B1"/>
    <w:rsid w:val="00880CCD"/>
    <w:rsid w:val="0088154C"/>
    <w:rsid w:val="0088160A"/>
    <w:rsid w:val="00881AC2"/>
    <w:rsid w:val="00881B8E"/>
    <w:rsid w:val="00882823"/>
    <w:rsid w:val="00882C2C"/>
    <w:rsid w:val="00882C62"/>
    <w:rsid w:val="0088311E"/>
    <w:rsid w:val="008838B4"/>
    <w:rsid w:val="008841A6"/>
    <w:rsid w:val="00884779"/>
    <w:rsid w:val="00884A0F"/>
    <w:rsid w:val="008851AF"/>
    <w:rsid w:val="008852D0"/>
    <w:rsid w:val="008860AB"/>
    <w:rsid w:val="008864B8"/>
    <w:rsid w:val="00886670"/>
    <w:rsid w:val="00886991"/>
    <w:rsid w:val="0088734F"/>
    <w:rsid w:val="00887450"/>
    <w:rsid w:val="0088776C"/>
    <w:rsid w:val="00887884"/>
    <w:rsid w:val="00887FC6"/>
    <w:rsid w:val="008904BC"/>
    <w:rsid w:val="0089055C"/>
    <w:rsid w:val="00890BE2"/>
    <w:rsid w:val="00890DCC"/>
    <w:rsid w:val="008918F6"/>
    <w:rsid w:val="0089229F"/>
    <w:rsid w:val="008922AD"/>
    <w:rsid w:val="00893130"/>
    <w:rsid w:val="008944EF"/>
    <w:rsid w:val="00895261"/>
    <w:rsid w:val="008952E1"/>
    <w:rsid w:val="00895CD5"/>
    <w:rsid w:val="00895FF3"/>
    <w:rsid w:val="00896CEB"/>
    <w:rsid w:val="008977EF"/>
    <w:rsid w:val="00897F76"/>
    <w:rsid w:val="008A0942"/>
    <w:rsid w:val="008A0D59"/>
    <w:rsid w:val="008A12F2"/>
    <w:rsid w:val="008A19AB"/>
    <w:rsid w:val="008A1D1C"/>
    <w:rsid w:val="008A235F"/>
    <w:rsid w:val="008A2526"/>
    <w:rsid w:val="008A27B8"/>
    <w:rsid w:val="008A2920"/>
    <w:rsid w:val="008A2DF6"/>
    <w:rsid w:val="008A2F9A"/>
    <w:rsid w:val="008A3513"/>
    <w:rsid w:val="008A3A8D"/>
    <w:rsid w:val="008A3C25"/>
    <w:rsid w:val="008A3E01"/>
    <w:rsid w:val="008A478A"/>
    <w:rsid w:val="008A5497"/>
    <w:rsid w:val="008B0469"/>
    <w:rsid w:val="008B0704"/>
    <w:rsid w:val="008B087B"/>
    <w:rsid w:val="008B0A60"/>
    <w:rsid w:val="008B1238"/>
    <w:rsid w:val="008B248D"/>
    <w:rsid w:val="008B2A5D"/>
    <w:rsid w:val="008B2B36"/>
    <w:rsid w:val="008B2B7F"/>
    <w:rsid w:val="008B3B52"/>
    <w:rsid w:val="008B3C85"/>
    <w:rsid w:val="008B3D72"/>
    <w:rsid w:val="008B4572"/>
    <w:rsid w:val="008B4B22"/>
    <w:rsid w:val="008B613F"/>
    <w:rsid w:val="008B6A40"/>
    <w:rsid w:val="008B7043"/>
    <w:rsid w:val="008B79F8"/>
    <w:rsid w:val="008B7CEE"/>
    <w:rsid w:val="008B7D12"/>
    <w:rsid w:val="008C09DB"/>
    <w:rsid w:val="008C1008"/>
    <w:rsid w:val="008C1247"/>
    <w:rsid w:val="008C15A5"/>
    <w:rsid w:val="008C22B9"/>
    <w:rsid w:val="008C238B"/>
    <w:rsid w:val="008C260A"/>
    <w:rsid w:val="008C2755"/>
    <w:rsid w:val="008C277C"/>
    <w:rsid w:val="008C3DE4"/>
    <w:rsid w:val="008C4605"/>
    <w:rsid w:val="008C477A"/>
    <w:rsid w:val="008C4F56"/>
    <w:rsid w:val="008C5F8F"/>
    <w:rsid w:val="008C70E9"/>
    <w:rsid w:val="008C799C"/>
    <w:rsid w:val="008C7E2E"/>
    <w:rsid w:val="008C7FE6"/>
    <w:rsid w:val="008D0574"/>
    <w:rsid w:val="008D0D82"/>
    <w:rsid w:val="008D11BB"/>
    <w:rsid w:val="008D11FD"/>
    <w:rsid w:val="008D1693"/>
    <w:rsid w:val="008D22F0"/>
    <w:rsid w:val="008D33E1"/>
    <w:rsid w:val="008D38D8"/>
    <w:rsid w:val="008D3DF7"/>
    <w:rsid w:val="008D3E55"/>
    <w:rsid w:val="008D4DCD"/>
    <w:rsid w:val="008D5622"/>
    <w:rsid w:val="008D6799"/>
    <w:rsid w:val="008D69AE"/>
    <w:rsid w:val="008D6D04"/>
    <w:rsid w:val="008D6DFE"/>
    <w:rsid w:val="008D6E10"/>
    <w:rsid w:val="008D702F"/>
    <w:rsid w:val="008D7982"/>
    <w:rsid w:val="008E029F"/>
    <w:rsid w:val="008E080B"/>
    <w:rsid w:val="008E0CE6"/>
    <w:rsid w:val="008E13F0"/>
    <w:rsid w:val="008E2911"/>
    <w:rsid w:val="008E2E17"/>
    <w:rsid w:val="008E33E9"/>
    <w:rsid w:val="008E3409"/>
    <w:rsid w:val="008E3AE2"/>
    <w:rsid w:val="008E4123"/>
    <w:rsid w:val="008E41E0"/>
    <w:rsid w:val="008E4247"/>
    <w:rsid w:val="008E4C9B"/>
    <w:rsid w:val="008E5DDD"/>
    <w:rsid w:val="008E6182"/>
    <w:rsid w:val="008E61CF"/>
    <w:rsid w:val="008E64FF"/>
    <w:rsid w:val="008E66CD"/>
    <w:rsid w:val="008E6C2A"/>
    <w:rsid w:val="008E7142"/>
    <w:rsid w:val="008E797E"/>
    <w:rsid w:val="008F0C30"/>
    <w:rsid w:val="008F0DE3"/>
    <w:rsid w:val="008F0E36"/>
    <w:rsid w:val="008F2817"/>
    <w:rsid w:val="008F373F"/>
    <w:rsid w:val="008F3B96"/>
    <w:rsid w:val="008F4044"/>
    <w:rsid w:val="008F4688"/>
    <w:rsid w:val="008F612C"/>
    <w:rsid w:val="008F728A"/>
    <w:rsid w:val="008F7567"/>
    <w:rsid w:val="008F7A65"/>
    <w:rsid w:val="008F7B0F"/>
    <w:rsid w:val="0090010B"/>
    <w:rsid w:val="00900123"/>
    <w:rsid w:val="0090052B"/>
    <w:rsid w:val="00900ACC"/>
    <w:rsid w:val="00900BC7"/>
    <w:rsid w:val="0090235B"/>
    <w:rsid w:val="0090245C"/>
    <w:rsid w:val="00903067"/>
    <w:rsid w:val="00903B20"/>
    <w:rsid w:val="00903F4F"/>
    <w:rsid w:val="0090452A"/>
    <w:rsid w:val="00904737"/>
    <w:rsid w:val="00904AA3"/>
    <w:rsid w:val="0090508F"/>
    <w:rsid w:val="00905120"/>
    <w:rsid w:val="009052A8"/>
    <w:rsid w:val="0090555D"/>
    <w:rsid w:val="00905795"/>
    <w:rsid w:val="00906621"/>
    <w:rsid w:val="00906A81"/>
    <w:rsid w:val="0090708B"/>
    <w:rsid w:val="00907393"/>
    <w:rsid w:val="00907622"/>
    <w:rsid w:val="009100B6"/>
    <w:rsid w:val="009100E9"/>
    <w:rsid w:val="00910291"/>
    <w:rsid w:val="00910434"/>
    <w:rsid w:val="00910544"/>
    <w:rsid w:val="0091060B"/>
    <w:rsid w:val="009106B8"/>
    <w:rsid w:val="00910C3F"/>
    <w:rsid w:val="00911498"/>
    <w:rsid w:val="00911588"/>
    <w:rsid w:val="00911CED"/>
    <w:rsid w:val="00913809"/>
    <w:rsid w:val="00913863"/>
    <w:rsid w:val="009141B5"/>
    <w:rsid w:val="00914423"/>
    <w:rsid w:val="0091456A"/>
    <w:rsid w:val="00916051"/>
    <w:rsid w:val="00916EFC"/>
    <w:rsid w:val="00916F62"/>
    <w:rsid w:val="0092048C"/>
    <w:rsid w:val="00921034"/>
    <w:rsid w:val="00921A4E"/>
    <w:rsid w:val="00921BD8"/>
    <w:rsid w:val="00922608"/>
    <w:rsid w:val="00922715"/>
    <w:rsid w:val="00922B0D"/>
    <w:rsid w:val="009231ED"/>
    <w:rsid w:val="009232A3"/>
    <w:rsid w:val="0092336B"/>
    <w:rsid w:val="0092361D"/>
    <w:rsid w:val="009242AF"/>
    <w:rsid w:val="00924529"/>
    <w:rsid w:val="009247E1"/>
    <w:rsid w:val="0092540E"/>
    <w:rsid w:val="00926050"/>
    <w:rsid w:val="009268D5"/>
    <w:rsid w:val="00926947"/>
    <w:rsid w:val="00926DBF"/>
    <w:rsid w:val="00930A51"/>
    <w:rsid w:val="00930BA0"/>
    <w:rsid w:val="00932891"/>
    <w:rsid w:val="00932E64"/>
    <w:rsid w:val="009334B2"/>
    <w:rsid w:val="0093370F"/>
    <w:rsid w:val="00933E35"/>
    <w:rsid w:val="00934014"/>
    <w:rsid w:val="00934965"/>
    <w:rsid w:val="00934C4A"/>
    <w:rsid w:val="00934E92"/>
    <w:rsid w:val="009357C3"/>
    <w:rsid w:val="009357C5"/>
    <w:rsid w:val="00936358"/>
    <w:rsid w:val="009408B1"/>
    <w:rsid w:val="00940E3D"/>
    <w:rsid w:val="00941A8F"/>
    <w:rsid w:val="00941BA3"/>
    <w:rsid w:val="00942714"/>
    <w:rsid w:val="00943728"/>
    <w:rsid w:val="00943BFD"/>
    <w:rsid w:val="00943C53"/>
    <w:rsid w:val="00943CF5"/>
    <w:rsid w:val="00944337"/>
    <w:rsid w:val="00944DCD"/>
    <w:rsid w:val="00945D1A"/>
    <w:rsid w:val="00945E37"/>
    <w:rsid w:val="00945F8F"/>
    <w:rsid w:val="009461B1"/>
    <w:rsid w:val="00946C53"/>
    <w:rsid w:val="0094735F"/>
    <w:rsid w:val="009475E4"/>
    <w:rsid w:val="00947600"/>
    <w:rsid w:val="00947B43"/>
    <w:rsid w:val="00947FF8"/>
    <w:rsid w:val="009507E6"/>
    <w:rsid w:val="00950B93"/>
    <w:rsid w:val="00950E9A"/>
    <w:rsid w:val="00951318"/>
    <w:rsid w:val="00951E3A"/>
    <w:rsid w:val="00952496"/>
    <w:rsid w:val="00952691"/>
    <w:rsid w:val="00952924"/>
    <w:rsid w:val="00952FD0"/>
    <w:rsid w:val="009535BB"/>
    <w:rsid w:val="009543E8"/>
    <w:rsid w:val="00954706"/>
    <w:rsid w:val="00954717"/>
    <w:rsid w:val="0095477B"/>
    <w:rsid w:val="00954ADC"/>
    <w:rsid w:val="00954B7F"/>
    <w:rsid w:val="00954D16"/>
    <w:rsid w:val="00955320"/>
    <w:rsid w:val="009561B3"/>
    <w:rsid w:val="00956C1F"/>
    <w:rsid w:val="00957B0B"/>
    <w:rsid w:val="009602B0"/>
    <w:rsid w:val="00961C5C"/>
    <w:rsid w:val="00961DEE"/>
    <w:rsid w:val="009620B4"/>
    <w:rsid w:val="0096254E"/>
    <w:rsid w:val="00963608"/>
    <w:rsid w:val="00963A65"/>
    <w:rsid w:val="00965261"/>
    <w:rsid w:val="00965575"/>
    <w:rsid w:val="009662A1"/>
    <w:rsid w:val="00966414"/>
    <w:rsid w:val="00966785"/>
    <w:rsid w:val="00966AA5"/>
    <w:rsid w:val="009670CF"/>
    <w:rsid w:val="009704AA"/>
    <w:rsid w:val="00971405"/>
    <w:rsid w:val="0097151B"/>
    <w:rsid w:val="009716DB"/>
    <w:rsid w:val="00971701"/>
    <w:rsid w:val="009717BC"/>
    <w:rsid w:val="00972406"/>
    <w:rsid w:val="00972A2E"/>
    <w:rsid w:val="00973378"/>
    <w:rsid w:val="009742D4"/>
    <w:rsid w:val="00974862"/>
    <w:rsid w:val="009757B3"/>
    <w:rsid w:val="009760A1"/>
    <w:rsid w:val="009761D7"/>
    <w:rsid w:val="00976424"/>
    <w:rsid w:val="00976A6B"/>
    <w:rsid w:val="00976A6D"/>
    <w:rsid w:val="00976CFC"/>
    <w:rsid w:val="00976FEB"/>
    <w:rsid w:val="00977039"/>
    <w:rsid w:val="0097709C"/>
    <w:rsid w:val="00977377"/>
    <w:rsid w:val="00977B92"/>
    <w:rsid w:val="00977C52"/>
    <w:rsid w:val="00981568"/>
    <w:rsid w:val="00981897"/>
    <w:rsid w:val="00982403"/>
    <w:rsid w:val="009826D7"/>
    <w:rsid w:val="00982D2B"/>
    <w:rsid w:val="00984F95"/>
    <w:rsid w:val="00987386"/>
    <w:rsid w:val="00987E79"/>
    <w:rsid w:val="009907AC"/>
    <w:rsid w:val="00990C35"/>
    <w:rsid w:val="009911B3"/>
    <w:rsid w:val="009913C2"/>
    <w:rsid w:val="00991DC0"/>
    <w:rsid w:val="009926DA"/>
    <w:rsid w:val="0099368A"/>
    <w:rsid w:val="00993BB8"/>
    <w:rsid w:val="00995177"/>
    <w:rsid w:val="00996147"/>
    <w:rsid w:val="00996236"/>
    <w:rsid w:val="00996747"/>
    <w:rsid w:val="00996B23"/>
    <w:rsid w:val="0099793C"/>
    <w:rsid w:val="009A05C9"/>
    <w:rsid w:val="009A0C97"/>
    <w:rsid w:val="009A160D"/>
    <w:rsid w:val="009A1EB1"/>
    <w:rsid w:val="009A2113"/>
    <w:rsid w:val="009A2D5B"/>
    <w:rsid w:val="009A2E67"/>
    <w:rsid w:val="009A32E4"/>
    <w:rsid w:val="009A3CC3"/>
    <w:rsid w:val="009A4385"/>
    <w:rsid w:val="009A45AF"/>
    <w:rsid w:val="009A4B5C"/>
    <w:rsid w:val="009A4E5E"/>
    <w:rsid w:val="009A4F01"/>
    <w:rsid w:val="009A5CA8"/>
    <w:rsid w:val="009A6729"/>
    <w:rsid w:val="009A703D"/>
    <w:rsid w:val="009B0208"/>
    <w:rsid w:val="009B0B07"/>
    <w:rsid w:val="009B0B48"/>
    <w:rsid w:val="009B15A8"/>
    <w:rsid w:val="009B1F7A"/>
    <w:rsid w:val="009B339A"/>
    <w:rsid w:val="009B33D7"/>
    <w:rsid w:val="009B3E8F"/>
    <w:rsid w:val="009B3F2E"/>
    <w:rsid w:val="009B6DFF"/>
    <w:rsid w:val="009B7558"/>
    <w:rsid w:val="009B7641"/>
    <w:rsid w:val="009C0A04"/>
    <w:rsid w:val="009C0DDC"/>
    <w:rsid w:val="009C0F23"/>
    <w:rsid w:val="009C1627"/>
    <w:rsid w:val="009C348E"/>
    <w:rsid w:val="009C4C08"/>
    <w:rsid w:val="009C5105"/>
    <w:rsid w:val="009C62FA"/>
    <w:rsid w:val="009C6791"/>
    <w:rsid w:val="009C6AD6"/>
    <w:rsid w:val="009C720A"/>
    <w:rsid w:val="009C7A6B"/>
    <w:rsid w:val="009D06F1"/>
    <w:rsid w:val="009D2135"/>
    <w:rsid w:val="009D230C"/>
    <w:rsid w:val="009D2973"/>
    <w:rsid w:val="009D3323"/>
    <w:rsid w:val="009D3499"/>
    <w:rsid w:val="009D3631"/>
    <w:rsid w:val="009D409B"/>
    <w:rsid w:val="009D4567"/>
    <w:rsid w:val="009D5552"/>
    <w:rsid w:val="009D5714"/>
    <w:rsid w:val="009D5E53"/>
    <w:rsid w:val="009D5F06"/>
    <w:rsid w:val="009D68C2"/>
    <w:rsid w:val="009D6C1F"/>
    <w:rsid w:val="009D7161"/>
    <w:rsid w:val="009D7F39"/>
    <w:rsid w:val="009E0AC4"/>
    <w:rsid w:val="009E169F"/>
    <w:rsid w:val="009E2A92"/>
    <w:rsid w:val="009E3513"/>
    <w:rsid w:val="009E3F9D"/>
    <w:rsid w:val="009E402F"/>
    <w:rsid w:val="009E4481"/>
    <w:rsid w:val="009E5683"/>
    <w:rsid w:val="009E590D"/>
    <w:rsid w:val="009E6FED"/>
    <w:rsid w:val="009E7669"/>
    <w:rsid w:val="009F01A4"/>
    <w:rsid w:val="009F176B"/>
    <w:rsid w:val="009F17F7"/>
    <w:rsid w:val="009F21DF"/>
    <w:rsid w:val="009F21E4"/>
    <w:rsid w:val="009F23D0"/>
    <w:rsid w:val="009F24EC"/>
    <w:rsid w:val="009F36A5"/>
    <w:rsid w:val="009F3A32"/>
    <w:rsid w:val="009F3E05"/>
    <w:rsid w:val="009F408A"/>
    <w:rsid w:val="009F4815"/>
    <w:rsid w:val="009F48CA"/>
    <w:rsid w:val="009F4ED4"/>
    <w:rsid w:val="009F52B0"/>
    <w:rsid w:val="009F6393"/>
    <w:rsid w:val="009F68A2"/>
    <w:rsid w:val="009F759E"/>
    <w:rsid w:val="009F77A6"/>
    <w:rsid w:val="00A00558"/>
    <w:rsid w:val="00A006B9"/>
    <w:rsid w:val="00A00AA2"/>
    <w:rsid w:val="00A00D7C"/>
    <w:rsid w:val="00A015FA"/>
    <w:rsid w:val="00A02556"/>
    <w:rsid w:val="00A029A3"/>
    <w:rsid w:val="00A03880"/>
    <w:rsid w:val="00A04CB5"/>
    <w:rsid w:val="00A04E5E"/>
    <w:rsid w:val="00A050E6"/>
    <w:rsid w:val="00A05161"/>
    <w:rsid w:val="00A0551B"/>
    <w:rsid w:val="00A0672F"/>
    <w:rsid w:val="00A069E7"/>
    <w:rsid w:val="00A06F21"/>
    <w:rsid w:val="00A070BE"/>
    <w:rsid w:val="00A07244"/>
    <w:rsid w:val="00A10994"/>
    <w:rsid w:val="00A10CE4"/>
    <w:rsid w:val="00A111E2"/>
    <w:rsid w:val="00A12232"/>
    <w:rsid w:val="00A12286"/>
    <w:rsid w:val="00A12C7D"/>
    <w:rsid w:val="00A136D3"/>
    <w:rsid w:val="00A13775"/>
    <w:rsid w:val="00A13B45"/>
    <w:rsid w:val="00A152A2"/>
    <w:rsid w:val="00A15471"/>
    <w:rsid w:val="00A155D3"/>
    <w:rsid w:val="00A159BD"/>
    <w:rsid w:val="00A15D4E"/>
    <w:rsid w:val="00A16615"/>
    <w:rsid w:val="00A172F2"/>
    <w:rsid w:val="00A17651"/>
    <w:rsid w:val="00A20AAB"/>
    <w:rsid w:val="00A22528"/>
    <w:rsid w:val="00A2396E"/>
    <w:rsid w:val="00A257C2"/>
    <w:rsid w:val="00A25C7B"/>
    <w:rsid w:val="00A26F40"/>
    <w:rsid w:val="00A270EE"/>
    <w:rsid w:val="00A27A33"/>
    <w:rsid w:val="00A27CB5"/>
    <w:rsid w:val="00A30548"/>
    <w:rsid w:val="00A30BE1"/>
    <w:rsid w:val="00A317E4"/>
    <w:rsid w:val="00A31A79"/>
    <w:rsid w:val="00A32F51"/>
    <w:rsid w:val="00A32FD4"/>
    <w:rsid w:val="00A3333C"/>
    <w:rsid w:val="00A333E1"/>
    <w:rsid w:val="00A336D6"/>
    <w:rsid w:val="00A34BA0"/>
    <w:rsid w:val="00A3542B"/>
    <w:rsid w:val="00A3598D"/>
    <w:rsid w:val="00A359A4"/>
    <w:rsid w:val="00A35C70"/>
    <w:rsid w:val="00A361CA"/>
    <w:rsid w:val="00A368F7"/>
    <w:rsid w:val="00A36AA8"/>
    <w:rsid w:val="00A36D20"/>
    <w:rsid w:val="00A37309"/>
    <w:rsid w:val="00A373D3"/>
    <w:rsid w:val="00A37D9B"/>
    <w:rsid w:val="00A408EF"/>
    <w:rsid w:val="00A40C63"/>
    <w:rsid w:val="00A41FCA"/>
    <w:rsid w:val="00A426B7"/>
    <w:rsid w:val="00A42A66"/>
    <w:rsid w:val="00A43674"/>
    <w:rsid w:val="00A441E2"/>
    <w:rsid w:val="00A4459D"/>
    <w:rsid w:val="00A44B91"/>
    <w:rsid w:val="00A44D7B"/>
    <w:rsid w:val="00A4701C"/>
    <w:rsid w:val="00A47074"/>
    <w:rsid w:val="00A47561"/>
    <w:rsid w:val="00A4794A"/>
    <w:rsid w:val="00A47E7A"/>
    <w:rsid w:val="00A50874"/>
    <w:rsid w:val="00A50912"/>
    <w:rsid w:val="00A5262C"/>
    <w:rsid w:val="00A531EC"/>
    <w:rsid w:val="00A533DD"/>
    <w:rsid w:val="00A54EE6"/>
    <w:rsid w:val="00A54F9A"/>
    <w:rsid w:val="00A54FCD"/>
    <w:rsid w:val="00A556CE"/>
    <w:rsid w:val="00A557DA"/>
    <w:rsid w:val="00A5588E"/>
    <w:rsid w:val="00A57A49"/>
    <w:rsid w:val="00A60E8E"/>
    <w:rsid w:val="00A6159F"/>
    <w:rsid w:val="00A61BE3"/>
    <w:rsid w:val="00A6206A"/>
    <w:rsid w:val="00A622C6"/>
    <w:rsid w:val="00A63248"/>
    <w:rsid w:val="00A63C48"/>
    <w:rsid w:val="00A63FE5"/>
    <w:rsid w:val="00A640CC"/>
    <w:rsid w:val="00A6458F"/>
    <w:rsid w:val="00A647E1"/>
    <w:rsid w:val="00A657A7"/>
    <w:rsid w:val="00A66005"/>
    <w:rsid w:val="00A663DD"/>
    <w:rsid w:val="00A66A99"/>
    <w:rsid w:val="00A670F3"/>
    <w:rsid w:val="00A67DD9"/>
    <w:rsid w:val="00A70046"/>
    <w:rsid w:val="00A7010B"/>
    <w:rsid w:val="00A70327"/>
    <w:rsid w:val="00A7037F"/>
    <w:rsid w:val="00A70ED0"/>
    <w:rsid w:val="00A7121A"/>
    <w:rsid w:val="00A716BE"/>
    <w:rsid w:val="00A71C1E"/>
    <w:rsid w:val="00A71FD4"/>
    <w:rsid w:val="00A722DD"/>
    <w:rsid w:val="00A7284D"/>
    <w:rsid w:val="00A72AEC"/>
    <w:rsid w:val="00A73436"/>
    <w:rsid w:val="00A73E2E"/>
    <w:rsid w:val="00A73FA5"/>
    <w:rsid w:val="00A74E32"/>
    <w:rsid w:val="00A7545A"/>
    <w:rsid w:val="00A7588D"/>
    <w:rsid w:val="00A75BCE"/>
    <w:rsid w:val="00A75E86"/>
    <w:rsid w:val="00A7696F"/>
    <w:rsid w:val="00A76E57"/>
    <w:rsid w:val="00A80EBC"/>
    <w:rsid w:val="00A81615"/>
    <w:rsid w:val="00A8222B"/>
    <w:rsid w:val="00A82B41"/>
    <w:rsid w:val="00A82DCA"/>
    <w:rsid w:val="00A82FC9"/>
    <w:rsid w:val="00A84E4C"/>
    <w:rsid w:val="00A85A15"/>
    <w:rsid w:val="00A85A18"/>
    <w:rsid w:val="00A86B34"/>
    <w:rsid w:val="00A86C28"/>
    <w:rsid w:val="00A86E96"/>
    <w:rsid w:val="00A87899"/>
    <w:rsid w:val="00A904AE"/>
    <w:rsid w:val="00A93305"/>
    <w:rsid w:val="00A9343D"/>
    <w:rsid w:val="00A93991"/>
    <w:rsid w:val="00A93DC4"/>
    <w:rsid w:val="00A94E38"/>
    <w:rsid w:val="00A95A8A"/>
    <w:rsid w:val="00A96031"/>
    <w:rsid w:val="00A96841"/>
    <w:rsid w:val="00A96939"/>
    <w:rsid w:val="00AA0617"/>
    <w:rsid w:val="00AA0663"/>
    <w:rsid w:val="00AA078A"/>
    <w:rsid w:val="00AA12D1"/>
    <w:rsid w:val="00AA1510"/>
    <w:rsid w:val="00AA179D"/>
    <w:rsid w:val="00AA1981"/>
    <w:rsid w:val="00AA2247"/>
    <w:rsid w:val="00AA2B60"/>
    <w:rsid w:val="00AA40AC"/>
    <w:rsid w:val="00AA4196"/>
    <w:rsid w:val="00AA41B0"/>
    <w:rsid w:val="00AA5DD7"/>
    <w:rsid w:val="00AA5FE9"/>
    <w:rsid w:val="00AA6506"/>
    <w:rsid w:val="00AA7813"/>
    <w:rsid w:val="00AA78EF"/>
    <w:rsid w:val="00AA7B79"/>
    <w:rsid w:val="00AB023B"/>
    <w:rsid w:val="00AB04DF"/>
    <w:rsid w:val="00AB0DCE"/>
    <w:rsid w:val="00AB2969"/>
    <w:rsid w:val="00AB3219"/>
    <w:rsid w:val="00AB3D33"/>
    <w:rsid w:val="00AB4586"/>
    <w:rsid w:val="00AB496A"/>
    <w:rsid w:val="00AB4B5C"/>
    <w:rsid w:val="00AB52AC"/>
    <w:rsid w:val="00AB52C0"/>
    <w:rsid w:val="00AB58C0"/>
    <w:rsid w:val="00AB5B6C"/>
    <w:rsid w:val="00AB7B7C"/>
    <w:rsid w:val="00AB7BD1"/>
    <w:rsid w:val="00AB7E53"/>
    <w:rsid w:val="00AC13D1"/>
    <w:rsid w:val="00AC1775"/>
    <w:rsid w:val="00AC17FE"/>
    <w:rsid w:val="00AC2DA6"/>
    <w:rsid w:val="00AC39B2"/>
    <w:rsid w:val="00AC3CB7"/>
    <w:rsid w:val="00AC4577"/>
    <w:rsid w:val="00AC7D34"/>
    <w:rsid w:val="00AD0086"/>
    <w:rsid w:val="00AD0E3A"/>
    <w:rsid w:val="00AD0EBB"/>
    <w:rsid w:val="00AD131D"/>
    <w:rsid w:val="00AD1789"/>
    <w:rsid w:val="00AD1856"/>
    <w:rsid w:val="00AD1A3B"/>
    <w:rsid w:val="00AD30AC"/>
    <w:rsid w:val="00AD36F6"/>
    <w:rsid w:val="00AD394A"/>
    <w:rsid w:val="00AD3CC8"/>
    <w:rsid w:val="00AD459F"/>
    <w:rsid w:val="00AD48B9"/>
    <w:rsid w:val="00AD4BF9"/>
    <w:rsid w:val="00AD4CAB"/>
    <w:rsid w:val="00AD615B"/>
    <w:rsid w:val="00AD6D7B"/>
    <w:rsid w:val="00AD787D"/>
    <w:rsid w:val="00AE01F7"/>
    <w:rsid w:val="00AE0928"/>
    <w:rsid w:val="00AE1540"/>
    <w:rsid w:val="00AE15F1"/>
    <w:rsid w:val="00AE2065"/>
    <w:rsid w:val="00AE2177"/>
    <w:rsid w:val="00AE2AFC"/>
    <w:rsid w:val="00AE2D7B"/>
    <w:rsid w:val="00AE2FD5"/>
    <w:rsid w:val="00AE3607"/>
    <w:rsid w:val="00AE3738"/>
    <w:rsid w:val="00AE39C8"/>
    <w:rsid w:val="00AE3B77"/>
    <w:rsid w:val="00AE3E53"/>
    <w:rsid w:val="00AE3F4B"/>
    <w:rsid w:val="00AE495F"/>
    <w:rsid w:val="00AE521F"/>
    <w:rsid w:val="00AE5DA6"/>
    <w:rsid w:val="00AE692D"/>
    <w:rsid w:val="00AE7239"/>
    <w:rsid w:val="00AE72C5"/>
    <w:rsid w:val="00AE7751"/>
    <w:rsid w:val="00AE7ABE"/>
    <w:rsid w:val="00AE7DF7"/>
    <w:rsid w:val="00AF09A8"/>
    <w:rsid w:val="00AF1EC3"/>
    <w:rsid w:val="00AF1F6C"/>
    <w:rsid w:val="00AF22A8"/>
    <w:rsid w:val="00AF25CB"/>
    <w:rsid w:val="00AF2606"/>
    <w:rsid w:val="00AF282D"/>
    <w:rsid w:val="00AF2955"/>
    <w:rsid w:val="00AF32A7"/>
    <w:rsid w:val="00AF3926"/>
    <w:rsid w:val="00AF3FFF"/>
    <w:rsid w:val="00AF40B1"/>
    <w:rsid w:val="00AF48C8"/>
    <w:rsid w:val="00AF55B8"/>
    <w:rsid w:val="00AF5E2E"/>
    <w:rsid w:val="00AF5FA7"/>
    <w:rsid w:val="00AF764A"/>
    <w:rsid w:val="00AF7A4C"/>
    <w:rsid w:val="00B00E35"/>
    <w:rsid w:val="00B017A6"/>
    <w:rsid w:val="00B0217D"/>
    <w:rsid w:val="00B026DA"/>
    <w:rsid w:val="00B028EB"/>
    <w:rsid w:val="00B02BDE"/>
    <w:rsid w:val="00B03BAF"/>
    <w:rsid w:val="00B03E11"/>
    <w:rsid w:val="00B0402F"/>
    <w:rsid w:val="00B0413D"/>
    <w:rsid w:val="00B0574C"/>
    <w:rsid w:val="00B063C1"/>
    <w:rsid w:val="00B0706C"/>
    <w:rsid w:val="00B07BBE"/>
    <w:rsid w:val="00B10A86"/>
    <w:rsid w:val="00B11869"/>
    <w:rsid w:val="00B11EEC"/>
    <w:rsid w:val="00B11FA5"/>
    <w:rsid w:val="00B1302B"/>
    <w:rsid w:val="00B13314"/>
    <w:rsid w:val="00B136A9"/>
    <w:rsid w:val="00B13AC3"/>
    <w:rsid w:val="00B146B8"/>
    <w:rsid w:val="00B15F34"/>
    <w:rsid w:val="00B16359"/>
    <w:rsid w:val="00B164A3"/>
    <w:rsid w:val="00B1687A"/>
    <w:rsid w:val="00B2050D"/>
    <w:rsid w:val="00B2053A"/>
    <w:rsid w:val="00B21E86"/>
    <w:rsid w:val="00B220CD"/>
    <w:rsid w:val="00B22C66"/>
    <w:rsid w:val="00B22CC7"/>
    <w:rsid w:val="00B22D7C"/>
    <w:rsid w:val="00B23432"/>
    <w:rsid w:val="00B25921"/>
    <w:rsid w:val="00B2593A"/>
    <w:rsid w:val="00B25EDE"/>
    <w:rsid w:val="00B25F19"/>
    <w:rsid w:val="00B27CB4"/>
    <w:rsid w:val="00B27F1A"/>
    <w:rsid w:val="00B30462"/>
    <w:rsid w:val="00B30C40"/>
    <w:rsid w:val="00B31B39"/>
    <w:rsid w:val="00B3302E"/>
    <w:rsid w:val="00B332B8"/>
    <w:rsid w:val="00B33533"/>
    <w:rsid w:val="00B34467"/>
    <w:rsid w:val="00B3563D"/>
    <w:rsid w:val="00B359BF"/>
    <w:rsid w:val="00B3685C"/>
    <w:rsid w:val="00B36C22"/>
    <w:rsid w:val="00B37786"/>
    <w:rsid w:val="00B40144"/>
    <w:rsid w:val="00B40243"/>
    <w:rsid w:val="00B40521"/>
    <w:rsid w:val="00B4061F"/>
    <w:rsid w:val="00B41090"/>
    <w:rsid w:val="00B419D1"/>
    <w:rsid w:val="00B41D4B"/>
    <w:rsid w:val="00B42062"/>
    <w:rsid w:val="00B42BAE"/>
    <w:rsid w:val="00B42CAE"/>
    <w:rsid w:val="00B43068"/>
    <w:rsid w:val="00B432F7"/>
    <w:rsid w:val="00B43DE2"/>
    <w:rsid w:val="00B43E13"/>
    <w:rsid w:val="00B44B1D"/>
    <w:rsid w:val="00B44C2C"/>
    <w:rsid w:val="00B452E9"/>
    <w:rsid w:val="00B45C2B"/>
    <w:rsid w:val="00B466E9"/>
    <w:rsid w:val="00B474A6"/>
    <w:rsid w:val="00B47E17"/>
    <w:rsid w:val="00B47FE4"/>
    <w:rsid w:val="00B5027F"/>
    <w:rsid w:val="00B51359"/>
    <w:rsid w:val="00B51DEB"/>
    <w:rsid w:val="00B528E5"/>
    <w:rsid w:val="00B52D47"/>
    <w:rsid w:val="00B53424"/>
    <w:rsid w:val="00B536F5"/>
    <w:rsid w:val="00B53C01"/>
    <w:rsid w:val="00B543F3"/>
    <w:rsid w:val="00B547B0"/>
    <w:rsid w:val="00B55A92"/>
    <w:rsid w:val="00B56238"/>
    <w:rsid w:val="00B57816"/>
    <w:rsid w:val="00B610DA"/>
    <w:rsid w:val="00B6133A"/>
    <w:rsid w:val="00B62757"/>
    <w:rsid w:val="00B6372C"/>
    <w:rsid w:val="00B63932"/>
    <w:rsid w:val="00B63B81"/>
    <w:rsid w:val="00B63FBB"/>
    <w:rsid w:val="00B6469C"/>
    <w:rsid w:val="00B65356"/>
    <w:rsid w:val="00B657C2"/>
    <w:rsid w:val="00B65A0E"/>
    <w:rsid w:val="00B65C9B"/>
    <w:rsid w:val="00B676D8"/>
    <w:rsid w:val="00B67845"/>
    <w:rsid w:val="00B678AD"/>
    <w:rsid w:val="00B67A9C"/>
    <w:rsid w:val="00B70862"/>
    <w:rsid w:val="00B70C5E"/>
    <w:rsid w:val="00B70CC2"/>
    <w:rsid w:val="00B70E12"/>
    <w:rsid w:val="00B7141E"/>
    <w:rsid w:val="00B71F97"/>
    <w:rsid w:val="00B727EE"/>
    <w:rsid w:val="00B72813"/>
    <w:rsid w:val="00B72884"/>
    <w:rsid w:val="00B72D57"/>
    <w:rsid w:val="00B72D84"/>
    <w:rsid w:val="00B72ECA"/>
    <w:rsid w:val="00B73747"/>
    <w:rsid w:val="00B75A3E"/>
    <w:rsid w:val="00B765ED"/>
    <w:rsid w:val="00B76C75"/>
    <w:rsid w:val="00B820B1"/>
    <w:rsid w:val="00B82550"/>
    <w:rsid w:val="00B82863"/>
    <w:rsid w:val="00B82AB1"/>
    <w:rsid w:val="00B83F93"/>
    <w:rsid w:val="00B8443B"/>
    <w:rsid w:val="00B85008"/>
    <w:rsid w:val="00B85123"/>
    <w:rsid w:val="00B85500"/>
    <w:rsid w:val="00B8594C"/>
    <w:rsid w:val="00B85977"/>
    <w:rsid w:val="00B85D07"/>
    <w:rsid w:val="00B86020"/>
    <w:rsid w:val="00B86C3E"/>
    <w:rsid w:val="00B86F25"/>
    <w:rsid w:val="00B8715B"/>
    <w:rsid w:val="00B877FC"/>
    <w:rsid w:val="00B90407"/>
    <w:rsid w:val="00B904A2"/>
    <w:rsid w:val="00B90722"/>
    <w:rsid w:val="00B908C5"/>
    <w:rsid w:val="00B909B5"/>
    <w:rsid w:val="00B90A36"/>
    <w:rsid w:val="00B90DE9"/>
    <w:rsid w:val="00B91463"/>
    <w:rsid w:val="00B93B38"/>
    <w:rsid w:val="00B9511D"/>
    <w:rsid w:val="00B95348"/>
    <w:rsid w:val="00B95686"/>
    <w:rsid w:val="00B957B1"/>
    <w:rsid w:val="00B95886"/>
    <w:rsid w:val="00BA1004"/>
    <w:rsid w:val="00BA110D"/>
    <w:rsid w:val="00BA12C0"/>
    <w:rsid w:val="00BA130B"/>
    <w:rsid w:val="00BA13B9"/>
    <w:rsid w:val="00BA1E1A"/>
    <w:rsid w:val="00BA1F6E"/>
    <w:rsid w:val="00BA2D04"/>
    <w:rsid w:val="00BA31EB"/>
    <w:rsid w:val="00BA365E"/>
    <w:rsid w:val="00BA3BFA"/>
    <w:rsid w:val="00BA3F6C"/>
    <w:rsid w:val="00BA4184"/>
    <w:rsid w:val="00BA44F4"/>
    <w:rsid w:val="00BA45E5"/>
    <w:rsid w:val="00BA4D80"/>
    <w:rsid w:val="00BA4ED6"/>
    <w:rsid w:val="00BA4F59"/>
    <w:rsid w:val="00BA581A"/>
    <w:rsid w:val="00BA5AFC"/>
    <w:rsid w:val="00BA6032"/>
    <w:rsid w:val="00BA6D41"/>
    <w:rsid w:val="00BA6E00"/>
    <w:rsid w:val="00BA78BC"/>
    <w:rsid w:val="00BA78E2"/>
    <w:rsid w:val="00BB0135"/>
    <w:rsid w:val="00BB06C4"/>
    <w:rsid w:val="00BB13C2"/>
    <w:rsid w:val="00BB1A9D"/>
    <w:rsid w:val="00BB1E51"/>
    <w:rsid w:val="00BB395B"/>
    <w:rsid w:val="00BB439A"/>
    <w:rsid w:val="00BB4844"/>
    <w:rsid w:val="00BB4C78"/>
    <w:rsid w:val="00BB4DC7"/>
    <w:rsid w:val="00BB5FAB"/>
    <w:rsid w:val="00BB7226"/>
    <w:rsid w:val="00BC11FB"/>
    <w:rsid w:val="00BC242B"/>
    <w:rsid w:val="00BC3784"/>
    <w:rsid w:val="00BC3EA7"/>
    <w:rsid w:val="00BC4F09"/>
    <w:rsid w:val="00BC5E0A"/>
    <w:rsid w:val="00BC611A"/>
    <w:rsid w:val="00BC6219"/>
    <w:rsid w:val="00BC79D5"/>
    <w:rsid w:val="00BD03EE"/>
    <w:rsid w:val="00BD0AD4"/>
    <w:rsid w:val="00BD0FE2"/>
    <w:rsid w:val="00BD1276"/>
    <w:rsid w:val="00BD1B99"/>
    <w:rsid w:val="00BD206B"/>
    <w:rsid w:val="00BD2895"/>
    <w:rsid w:val="00BD2CEF"/>
    <w:rsid w:val="00BD498C"/>
    <w:rsid w:val="00BD551A"/>
    <w:rsid w:val="00BD5575"/>
    <w:rsid w:val="00BD5896"/>
    <w:rsid w:val="00BD5E66"/>
    <w:rsid w:val="00BD6076"/>
    <w:rsid w:val="00BD6196"/>
    <w:rsid w:val="00BD64C3"/>
    <w:rsid w:val="00BE02BA"/>
    <w:rsid w:val="00BE03EF"/>
    <w:rsid w:val="00BE0940"/>
    <w:rsid w:val="00BE0D05"/>
    <w:rsid w:val="00BE177E"/>
    <w:rsid w:val="00BE2DAA"/>
    <w:rsid w:val="00BE3386"/>
    <w:rsid w:val="00BE3448"/>
    <w:rsid w:val="00BE3E26"/>
    <w:rsid w:val="00BE4001"/>
    <w:rsid w:val="00BE4B7F"/>
    <w:rsid w:val="00BE60E6"/>
    <w:rsid w:val="00BE64EF"/>
    <w:rsid w:val="00BE651F"/>
    <w:rsid w:val="00BE74E1"/>
    <w:rsid w:val="00BE7B15"/>
    <w:rsid w:val="00BE7DD2"/>
    <w:rsid w:val="00BF01C9"/>
    <w:rsid w:val="00BF04B8"/>
    <w:rsid w:val="00BF0EFF"/>
    <w:rsid w:val="00BF157B"/>
    <w:rsid w:val="00BF2B97"/>
    <w:rsid w:val="00BF3481"/>
    <w:rsid w:val="00BF3499"/>
    <w:rsid w:val="00BF35D4"/>
    <w:rsid w:val="00BF4274"/>
    <w:rsid w:val="00BF54BE"/>
    <w:rsid w:val="00BF56FC"/>
    <w:rsid w:val="00BF5802"/>
    <w:rsid w:val="00BF5BE9"/>
    <w:rsid w:val="00BF5E12"/>
    <w:rsid w:val="00BF6132"/>
    <w:rsid w:val="00BF633A"/>
    <w:rsid w:val="00BF66F7"/>
    <w:rsid w:val="00BF6A4B"/>
    <w:rsid w:val="00BF6AB6"/>
    <w:rsid w:val="00BF745C"/>
    <w:rsid w:val="00BF7C49"/>
    <w:rsid w:val="00BF7C5E"/>
    <w:rsid w:val="00C000A0"/>
    <w:rsid w:val="00C004E6"/>
    <w:rsid w:val="00C0055B"/>
    <w:rsid w:val="00C014F0"/>
    <w:rsid w:val="00C024F3"/>
    <w:rsid w:val="00C02742"/>
    <w:rsid w:val="00C02CA1"/>
    <w:rsid w:val="00C040DB"/>
    <w:rsid w:val="00C04838"/>
    <w:rsid w:val="00C049B3"/>
    <w:rsid w:val="00C05771"/>
    <w:rsid w:val="00C058EF"/>
    <w:rsid w:val="00C05FE7"/>
    <w:rsid w:val="00C06079"/>
    <w:rsid w:val="00C0630A"/>
    <w:rsid w:val="00C06FB1"/>
    <w:rsid w:val="00C07382"/>
    <w:rsid w:val="00C105D6"/>
    <w:rsid w:val="00C11580"/>
    <w:rsid w:val="00C119EF"/>
    <w:rsid w:val="00C11F35"/>
    <w:rsid w:val="00C127AB"/>
    <w:rsid w:val="00C12FF0"/>
    <w:rsid w:val="00C13041"/>
    <w:rsid w:val="00C132DD"/>
    <w:rsid w:val="00C13B6A"/>
    <w:rsid w:val="00C14124"/>
    <w:rsid w:val="00C1425B"/>
    <w:rsid w:val="00C14457"/>
    <w:rsid w:val="00C14C18"/>
    <w:rsid w:val="00C14C27"/>
    <w:rsid w:val="00C14D87"/>
    <w:rsid w:val="00C1540D"/>
    <w:rsid w:val="00C158D1"/>
    <w:rsid w:val="00C158D7"/>
    <w:rsid w:val="00C1591E"/>
    <w:rsid w:val="00C1622D"/>
    <w:rsid w:val="00C163BC"/>
    <w:rsid w:val="00C16D7F"/>
    <w:rsid w:val="00C16ED8"/>
    <w:rsid w:val="00C17BC2"/>
    <w:rsid w:val="00C17F04"/>
    <w:rsid w:val="00C20156"/>
    <w:rsid w:val="00C20ADF"/>
    <w:rsid w:val="00C20AF3"/>
    <w:rsid w:val="00C20C78"/>
    <w:rsid w:val="00C21016"/>
    <w:rsid w:val="00C226E1"/>
    <w:rsid w:val="00C23240"/>
    <w:rsid w:val="00C23A5B"/>
    <w:rsid w:val="00C23D4D"/>
    <w:rsid w:val="00C23D50"/>
    <w:rsid w:val="00C25CD1"/>
    <w:rsid w:val="00C25EE0"/>
    <w:rsid w:val="00C26A1B"/>
    <w:rsid w:val="00C26F42"/>
    <w:rsid w:val="00C2787E"/>
    <w:rsid w:val="00C27EF1"/>
    <w:rsid w:val="00C30314"/>
    <w:rsid w:val="00C30551"/>
    <w:rsid w:val="00C309AD"/>
    <w:rsid w:val="00C31928"/>
    <w:rsid w:val="00C31D2E"/>
    <w:rsid w:val="00C32A42"/>
    <w:rsid w:val="00C3486F"/>
    <w:rsid w:val="00C35451"/>
    <w:rsid w:val="00C35688"/>
    <w:rsid w:val="00C3677E"/>
    <w:rsid w:val="00C3687B"/>
    <w:rsid w:val="00C36E87"/>
    <w:rsid w:val="00C37166"/>
    <w:rsid w:val="00C37650"/>
    <w:rsid w:val="00C411E8"/>
    <w:rsid w:val="00C421C5"/>
    <w:rsid w:val="00C425C7"/>
    <w:rsid w:val="00C4269B"/>
    <w:rsid w:val="00C429F9"/>
    <w:rsid w:val="00C43528"/>
    <w:rsid w:val="00C442AE"/>
    <w:rsid w:val="00C44ABB"/>
    <w:rsid w:val="00C46718"/>
    <w:rsid w:val="00C4691A"/>
    <w:rsid w:val="00C46CEC"/>
    <w:rsid w:val="00C50CD3"/>
    <w:rsid w:val="00C5104C"/>
    <w:rsid w:val="00C511D7"/>
    <w:rsid w:val="00C517D3"/>
    <w:rsid w:val="00C518D9"/>
    <w:rsid w:val="00C51ACD"/>
    <w:rsid w:val="00C51D04"/>
    <w:rsid w:val="00C522E9"/>
    <w:rsid w:val="00C53174"/>
    <w:rsid w:val="00C533EA"/>
    <w:rsid w:val="00C53C2D"/>
    <w:rsid w:val="00C54341"/>
    <w:rsid w:val="00C54375"/>
    <w:rsid w:val="00C546D6"/>
    <w:rsid w:val="00C54BBF"/>
    <w:rsid w:val="00C54F19"/>
    <w:rsid w:val="00C557E7"/>
    <w:rsid w:val="00C557EE"/>
    <w:rsid w:val="00C55F5C"/>
    <w:rsid w:val="00C560A4"/>
    <w:rsid w:val="00C57551"/>
    <w:rsid w:val="00C60E34"/>
    <w:rsid w:val="00C61195"/>
    <w:rsid w:val="00C620C5"/>
    <w:rsid w:val="00C623ED"/>
    <w:rsid w:val="00C62818"/>
    <w:rsid w:val="00C62A17"/>
    <w:rsid w:val="00C63A7A"/>
    <w:rsid w:val="00C64127"/>
    <w:rsid w:val="00C64946"/>
    <w:rsid w:val="00C64AC8"/>
    <w:rsid w:val="00C64B8F"/>
    <w:rsid w:val="00C664B1"/>
    <w:rsid w:val="00C66823"/>
    <w:rsid w:val="00C671C8"/>
    <w:rsid w:val="00C677BA"/>
    <w:rsid w:val="00C67C6C"/>
    <w:rsid w:val="00C67EC8"/>
    <w:rsid w:val="00C7044A"/>
    <w:rsid w:val="00C713A4"/>
    <w:rsid w:val="00C718BB"/>
    <w:rsid w:val="00C72025"/>
    <w:rsid w:val="00C73327"/>
    <w:rsid w:val="00C73497"/>
    <w:rsid w:val="00C735AA"/>
    <w:rsid w:val="00C7524D"/>
    <w:rsid w:val="00C75832"/>
    <w:rsid w:val="00C760B4"/>
    <w:rsid w:val="00C7672C"/>
    <w:rsid w:val="00C76E57"/>
    <w:rsid w:val="00C7709E"/>
    <w:rsid w:val="00C7710F"/>
    <w:rsid w:val="00C77744"/>
    <w:rsid w:val="00C778C3"/>
    <w:rsid w:val="00C77C81"/>
    <w:rsid w:val="00C8289B"/>
    <w:rsid w:val="00C83303"/>
    <w:rsid w:val="00C8341C"/>
    <w:rsid w:val="00C84287"/>
    <w:rsid w:val="00C845A6"/>
    <w:rsid w:val="00C85266"/>
    <w:rsid w:val="00C85CDF"/>
    <w:rsid w:val="00C861E6"/>
    <w:rsid w:val="00C86310"/>
    <w:rsid w:val="00C8669A"/>
    <w:rsid w:val="00C874E9"/>
    <w:rsid w:val="00C876B9"/>
    <w:rsid w:val="00C87C3A"/>
    <w:rsid w:val="00C87C90"/>
    <w:rsid w:val="00C87FFD"/>
    <w:rsid w:val="00C90859"/>
    <w:rsid w:val="00C92331"/>
    <w:rsid w:val="00C92912"/>
    <w:rsid w:val="00C92ED7"/>
    <w:rsid w:val="00C92FC3"/>
    <w:rsid w:val="00C93165"/>
    <w:rsid w:val="00C93496"/>
    <w:rsid w:val="00C9360A"/>
    <w:rsid w:val="00C956BB"/>
    <w:rsid w:val="00C959E7"/>
    <w:rsid w:val="00C963D5"/>
    <w:rsid w:val="00C969B6"/>
    <w:rsid w:val="00C9709E"/>
    <w:rsid w:val="00C97B25"/>
    <w:rsid w:val="00C97BF5"/>
    <w:rsid w:val="00C97DE0"/>
    <w:rsid w:val="00CA11A5"/>
    <w:rsid w:val="00CA133F"/>
    <w:rsid w:val="00CA154A"/>
    <w:rsid w:val="00CA1D2B"/>
    <w:rsid w:val="00CA2311"/>
    <w:rsid w:val="00CA2325"/>
    <w:rsid w:val="00CA245C"/>
    <w:rsid w:val="00CA2527"/>
    <w:rsid w:val="00CA2674"/>
    <w:rsid w:val="00CA26D5"/>
    <w:rsid w:val="00CA27B4"/>
    <w:rsid w:val="00CA3D90"/>
    <w:rsid w:val="00CA4AB4"/>
    <w:rsid w:val="00CA4CFB"/>
    <w:rsid w:val="00CA4E81"/>
    <w:rsid w:val="00CA52D6"/>
    <w:rsid w:val="00CA64B6"/>
    <w:rsid w:val="00CA6D41"/>
    <w:rsid w:val="00CA7612"/>
    <w:rsid w:val="00CB1610"/>
    <w:rsid w:val="00CB204E"/>
    <w:rsid w:val="00CB2052"/>
    <w:rsid w:val="00CB25BA"/>
    <w:rsid w:val="00CB3549"/>
    <w:rsid w:val="00CB38A8"/>
    <w:rsid w:val="00CB477B"/>
    <w:rsid w:val="00CB496B"/>
    <w:rsid w:val="00CB681B"/>
    <w:rsid w:val="00CB684E"/>
    <w:rsid w:val="00CB6D5E"/>
    <w:rsid w:val="00CB6ED0"/>
    <w:rsid w:val="00CB7496"/>
    <w:rsid w:val="00CB75CF"/>
    <w:rsid w:val="00CB7A32"/>
    <w:rsid w:val="00CB7C39"/>
    <w:rsid w:val="00CC0338"/>
    <w:rsid w:val="00CC0A1B"/>
    <w:rsid w:val="00CC10D3"/>
    <w:rsid w:val="00CC22B5"/>
    <w:rsid w:val="00CC2D79"/>
    <w:rsid w:val="00CC37A8"/>
    <w:rsid w:val="00CC3AB7"/>
    <w:rsid w:val="00CC3AC6"/>
    <w:rsid w:val="00CC3CFF"/>
    <w:rsid w:val="00CC452C"/>
    <w:rsid w:val="00CC4545"/>
    <w:rsid w:val="00CC4711"/>
    <w:rsid w:val="00CC475B"/>
    <w:rsid w:val="00CC49BD"/>
    <w:rsid w:val="00CC56F7"/>
    <w:rsid w:val="00CC5F88"/>
    <w:rsid w:val="00CC600E"/>
    <w:rsid w:val="00CC652C"/>
    <w:rsid w:val="00CC66FC"/>
    <w:rsid w:val="00CC6AF9"/>
    <w:rsid w:val="00CC7254"/>
    <w:rsid w:val="00CD01B0"/>
    <w:rsid w:val="00CD0550"/>
    <w:rsid w:val="00CD0A7C"/>
    <w:rsid w:val="00CD0DE2"/>
    <w:rsid w:val="00CD20D4"/>
    <w:rsid w:val="00CD2103"/>
    <w:rsid w:val="00CD3816"/>
    <w:rsid w:val="00CD4933"/>
    <w:rsid w:val="00CD4B5F"/>
    <w:rsid w:val="00CD4E07"/>
    <w:rsid w:val="00CD4F10"/>
    <w:rsid w:val="00CD63F9"/>
    <w:rsid w:val="00CD6429"/>
    <w:rsid w:val="00CD68C5"/>
    <w:rsid w:val="00CD6AFC"/>
    <w:rsid w:val="00CD7804"/>
    <w:rsid w:val="00CD7A20"/>
    <w:rsid w:val="00CE0CBD"/>
    <w:rsid w:val="00CE0CCA"/>
    <w:rsid w:val="00CE1A14"/>
    <w:rsid w:val="00CE1BDD"/>
    <w:rsid w:val="00CE2549"/>
    <w:rsid w:val="00CE448E"/>
    <w:rsid w:val="00CE4692"/>
    <w:rsid w:val="00CE4970"/>
    <w:rsid w:val="00CE4A97"/>
    <w:rsid w:val="00CE5214"/>
    <w:rsid w:val="00CE5DAC"/>
    <w:rsid w:val="00CE6CA8"/>
    <w:rsid w:val="00CE6E90"/>
    <w:rsid w:val="00CE7D8B"/>
    <w:rsid w:val="00CE7EB4"/>
    <w:rsid w:val="00CF0031"/>
    <w:rsid w:val="00CF041A"/>
    <w:rsid w:val="00CF1007"/>
    <w:rsid w:val="00CF12E6"/>
    <w:rsid w:val="00CF161B"/>
    <w:rsid w:val="00CF1C59"/>
    <w:rsid w:val="00CF5CAE"/>
    <w:rsid w:val="00CF70C6"/>
    <w:rsid w:val="00CF737C"/>
    <w:rsid w:val="00CF754C"/>
    <w:rsid w:val="00CF772D"/>
    <w:rsid w:val="00D005F5"/>
    <w:rsid w:val="00D00724"/>
    <w:rsid w:val="00D00A43"/>
    <w:rsid w:val="00D0113D"/>
    <w:rsid w:val="00D0125F"/>
    <w:rsid w:val="00D01DC9"/>
    <w:rsid w:val="00D01EE9"/>
    <w:rsid w:val="00D03F2F"/>
    <w:rsid w:val="00D041D4"/>
    <w:rsid w:val="00D05E66"/>
    <w:rsid w:val="00D065EC"/>
    <w:rsid w:val="00D0739A"/>
    <w:rsid w:val="00D1053C"/>
    <w:rsid w:val="00D109C5"/>
    <w:rsid w:val="00D11209"/>
    <w:rsid w:val="00D1154E"/>
    <w:rsid w:val="00D13965"/>
    <w:rsid w:val="00D13DB3"/>
    <w:rsid w:val="00D14556"/>
    <w:rsid w:val="00D1469D"/>
    <w:rsid w:val="00D14A40"/>
    <w:rsid w:val="00D14AB8"/>
    <w:rsid w:val="00D152A4"/>
    <w:rsid w:val="00D15FCC"/>
    <w:rsid w:val="00D16204"/>
    <w:rsid w:val="00D16275"/>
    <w:rsid w:val="00D1637C"/>
    <w:rsid w:val="00D1655C"/>
    <w:rsid w:val="00D178B1"/>
    <w:rsid w:val="00D20517"/>
    <w:rsid w:val="00D20CFB"/>
    <w:rsid w:val="00D22015"/>
    <w:rsid w:val="00D22E0C"/>
    <w:rsid w:val="00D22E73"/>
    <w:rsid w:val="00D23046"/>
    <w:rsid w:val="00D23D93"/>
    <w:rsid w:val="00D24CC7"/>
    <w:rsid w:val="00D250E0"/>
    <w:rsid w:val="00D252A5"/>
    <w:rsid w:val="00D252DD"/>
    <w:rsid w:val="00D25597"/>
    <w:rsid w:val="00D25E72"/>
    <w:rsid w:val="00D2654C"/>
    <w:rsid w:val="00D271D6"/>
    <w:rsid w:val="00D272D7"/>
    <w:rsid w:val="00D2787E"/>
    <w:rsid w:val="00D30CF3"/>
    <w:rsid w:val="00D31ABE"/>
    <w:rsid w:val="00D31EC0"/>
    <w:rsid w:val="00D3261C"/>
    <w:rsid w:val="00D32A0D"/>
    <w:rsid w:val="00D32CB5"/>
    <w:rsid w:val="00D33003"/>
    <w:rsid w:val="00D33C83"/>
    <w:rsid w:val="00D35D84"/>
    <w:rsid w:val="00D36C56"/>
    <w:rsid w:val="00D36D95"/>
    <w:rsid w:val="00D37016"/>
    <w:rsid w:val="00D3758D"/>
    <w:rsid w:val="00D37DD1"/>
    <w:rsid w:val="00D40A5F"/>
    <w:rsid w:val="00D40EA1"/>
    <w:rsid w:val="00D41A6D"/>
    <w:rsid w:val="00D4341A"/>
    <w:rsid w:val="00D43AE8"/>
    <w:rsid w:val="00D43C62"/>
    <w:rsid w:val="00D43E20"/>
    <w:rsid w:val="00D442F6"/>
    <w:rsid w:val="00D44D55"/>
    <w:rsid w:val="00D44F31"/>
    <w:rsid w:val="00D4509D"/>
    <w:rsid w:val="00D45889"/>
    <w:rsid w:val="00D45BCA"/>
    <w:rsid w:val="00D467D3"/>
    <w:rsid w:val="00D47416"/>
    <w:rsid w:val="00D50227"/>
    <w:rsid w:val="00D508C6"/>
    <w:rsid w:val="00D50C36"/>
    <w:rsid w:val="00D50F5D"/>
    <w:rsid w:val="00D51248"/>
    <w:rsid w:val="00D512FB"/>
    <w:rsid w:val="00D51740"/>
    <w:rsid w:val="00D52C51"/>
    <w:rsid w:val="00D5323C"/>
    <w:rsid w:val="00D535FF"/>
    <w:rsid w:val="00D53D71"/>
    <w:rsid w:val="00D540F5"/>
    <w:rsid w:val="00D54946"/>
    <w:rsid w:val="00D55FDA"/>
    <w:rsid w:val="00D5604C"/>
    <w:rsid w:val="00D56693"/>
    <w:rsid w:val="00D56C4F"/>
    <w:rsid w:val="00D57AE5"/>
    <w:rsid w:val="00D57CE7"/>
    <w:rsid w:val="00D60429"/>
    <w:rsid w:val="00D61648"/>
    <w:rsid w:val="00D632E8"/>
    <w:rsid w:val="00D6468D"/>
    <w:rsid w:val="00D64721"/>
    <w:rsid w:val="00D65284"/>
    <w:rsid w:val="00D657BC"/>
    <w:rsid w:val="00D65C56"/>
    <w:rsid w:val="00D65F37"/>
    <w:rsid w:val="00D66ACE"/>
    <w:rsid w:val="00D675A8"/>
    <w:rsid w:val="00D70B59"/>
    <w:rsid w:val="00D71387"/>
    <w:rsid w:val="00D71D84"/>
    <w:rsid w:val="00D71EB2"/>
    <w:rsid w:val="00D72C03"/>
    <w:rsid w:val="00D73092"/>
    <w:rsid w:val="00D73BAE"/>
    <w:rsid w:val="00D7414E"/>
    <w:rsid w:val="00D749A3"/>
    <w:rsid w:val="00D752BA"/>
    <w:rsid w:val="00D76541"/>
    <w:rsid w:val="00D76C6E"/>
    <w:rsid w:val="00D7711A"/>
    <w:rsid w:val="00D77770"/>
    <w:rsid w:val="00D77D2E"/>
    <w:rsid w:val="00D802F4"/>
    <w:rsid w:val="00D804E6"/>
    <w:rsid w:val="00D8079B"/>
    <w:rsid w:val="00D80BFF"/>
    <w:rsid w:val="00D81BF0"/>
    <w:rsid w:val="00D83F45"/>
    <w:rsid w:val="00D840EA"/>
    <w:rsid w:val="00D84F1B"/>
    <w:rsid w:val="00D85B72"/>
    <w:rsid w:val="00D86258"/>
    <w:rsid w:val="00D8625B"/>
    <w:rsid w:val="00D8630F"/>
    <w:rsid w:val="00D866EB"/>
    <w:rsid w:val="00D86964"/>
    <w:rsid w:val="00D86EF7"/>
    <w:rsid w:val="00D87893"/>
    <w:rsid w:val="00D87DBB"/>
    <w:rsid w:val="00D87F00"/>
    <w:rsid w:val="00D906E4"/>
    <w:rsid w:val="00D9138C"/>
    <w:rsid w:val="00D91405"/>
    <w:rsid w:val="00D91A64"/>
    <w:rsid w:val="00D920CD"/>
    <w:rsid w:val="00D92660"/>
    <w:rsid w:val="00D929BE"/>
    <w:rsid w:val="00D92C08"/>
    <w:rsid w:val="00D9480C"/>
    <w:rsid w:val="00D964DF"/>
    <w:rsid w:val="00D965BE"/>
    <w:rsid w:val="00D979B0"/>
    <w:rsid w:val="00DA0DC3"/>
    <w:rsid w:val="00DA162A"/>
    <w:rsid w:val="00DA29B8"/>
    <w:rsid w:val="00DA3520"/>
    <w:rsid w:val="00DA37E1"/>
    <w:rsid w:val="00DA3E23"/>
    <w:rsid w:val="00DA4312"/>
    <w:rsid w:val="00DA44E1"/>
    <w:rsid w:val="00DA4653"/>
    <w:rsid w:val="00DA5473"/>
    <w:rsid w:val="00DA5895"/>
    <w:rsid w:val="00DA5CFE"/>
    <w:rsid w:val="00DA6166"/>
    <w:rsid w:val="00DA640D"/>
    <w:rsid w:val="00DA7512"/>
    <w:rsid w:val="00DA7546"/>
    <w:rsid w:val="00DB150E"/>
    <w:rsid w:val="00DB1FA1"/>
    <w:rsid w:val="00DB2657"/>
    <w:rsid w:val="00DB340C"/>
    <w:rsid w:val="00DB3A99"/>
    <w:rsid w:val="00DB3D1F"/>
    <w:rsid w:val="00DB455B"/>
    <w:rsid w:val="00DB56B9"/>
    <w:rsid w:val="00DB5C3A"/>
    <w:rsid w:val="00DB6F2A"/>
    <w:rsid w:val="00DB7960"/>
    <w:rsid w:val="00DB7A0B"/>
    <w:rsid w:val="00DB7A68"/>
    <w:rsid w:val="00DB7C2B"/>
    <w:rsid w:val="00DC0844"/>
    <w:rsid w:val="00DC0F03"/>
    <w:rsid w:val="00DC1067"/>
    <w:rsid w:val="00DC1822"/>
    <w:rsid w:val="00DC23FA"/>
    <w:rsid w:val="00DC24F9"/>
    <w:rsid w:val="00DC252E"/>
    <w:rsid w:val="00DC27FC"/>
    <w:rsid w:val="00DC44D3"/>
    <w:rsid w:val="00DC4CD8"/>
    <w:rsid w:val="00DC4D3C"/>
    <w:rsid w:val="00DC55D7"/>
    <w:rsid w:val="00DC6527"/>
    <w:rsid w:val="00DC6E3A"/>
    <w:rsid w:val="00DC73CB"/>
    <w:rsid w:val="00DD0971"/>
    <w:rsid w:val="00DD1AB6"/>
    <w:rsid w:val="00DD1CCB"/>
    <w:rsid w:val="00DD1F7A"/>
    <w:rsid w:val="00DD364C"/>
    <w:rsid w:val="00DD3774"/>
    <w:rsid w:val="00DD425B"/>
    <w:rsid w:val="00DD49E1"/>
    <w:rsid w:val="00DD55E3"/>
    <w:rsid w:val="00DD64C9"/>
    <w:rsid w:val="00DD6654"/>
    <w:rsid w:val="00DE0E4F"/>
    <w:rsid w:val="00DE0F6F"/>
    <w:rsid w:val="00DE11E5"/>
    <w:rsid w:val="00DE1D8D"/>
    <w:rsid w:val="00DE2670"/>
    <w:rsid w:val="00DE29DE"/>
    <w:rsid w:val="00DE2FC4"/>
    <w:rsid w:val="00DE3272"/>
    <w:rsid w:val="00DE3E15"/>
    <w:rsid w:val="00DE4257"/>
    <w:rsid w:val="00DE43C8"/>
    <w:rsid w:val="00DE4466"/>
    <w:rsid w:val="00DE46E1"/>
    <w:rsid w:val="00DE4898"/>
    <w:rsid w:val="00DE624F"/>
    <w:rsid w:val="00DE6328"/>
    <w:rsid w:val="00DE63AD"/>
    <w:rsid w:val="00DE6928"/>
    <w:rsid w:val="00DE6C3A"/>
    <w:rsid w:val="00DE6FDC"/>
    <w:rsid w:val="00DE7A20"/>
    <w:rsid w:val="00DE7A89"/>
    <w:rsid w:val="00DE7F14"/>
    <w:rsid w:val="00DF165E"/>
    <w:rsid w:val="00DF2978"/>
    <w:rsid w:val="00DF419B"/>
    <w:rsid w:val="00DF41A1"/>
    <w:rsid w:val="00DF5441"/>
    <w:rsid w:val="00DF727A"/>
    <w:rsid w:val="00DF7C20"/>
    <w:rsid w:val="00E00095"/>
    <w:rsid w:val="00E0025E"/>
    <w:rsid w:val="00E00C18"/>
    <w:rsid w:val="00E00C7D"/>
    <w:rsid w:val="00E01B17"/>
    <w:rsid w:val="00E0374F"/>
    <w:rsid w:val="00E03B4C"/>
    <w:rsid w:val="00E04C4D"/>
    <w:rsid w:val="00E04E94"/>
    <w:rsid w:val="00E066F6"/>
    <w:rsid w:val="00E06E7A"/>
    <w:rsid w:val="00E07E86"/>
    <w:rsid w:val="00E101AC"/>
    <w:rsid w:val="00E10CCC"/>
    <w:rsid w:val="00E10D74"/>
    <w:rsid w:val="00E11148"/>
    <w:rsid w:val="00E11742"/>
    <w:rsid w:val="00E11BA5"/>
    <w:rsid w:val="00E122DA"/>
    <w:rsid w:val="00E125F0"/>
    <w:rsid w:val="00E1276E"/>
    <w:rsid w:val="00E12E55"/>
    <w:rsid w:val="00E13F60"/>
    <w:rsid w:val="00E142E9"/>
    <w:rsid w:val="00E1502D"/>
    <w:rsid w:val="00E151A5"/>
    <w:rsid w:val="00E179E7"/>
    <w:rsid w:val="00E17BCE"/>
    <w:rsid w:val="00E20548"/>
    <w:rsid w:val="00E2172D"/>
    <w:rsid w:val="00E218CB"/>
    <w:rsid w:val="00E22AE1"/>
    <w:rsid w:val="00E22B8C"/>
    <w:rsid w:val="00E22C6E"/>
    <w:rsid w:val="00E23A4F"/>
    <w:rsid w:val="00E23AEC"/>
    <w:rsid w:val="00E23B4F"/>
    <w:rsid w:val="00E23FAD"/>
    <w:rsid w:val="00E24049"/>
    <w:rsid w:val="00E249C0"/>
    <w:rsid w:val="00E2531E"/>
    <w:rsid w:val="00E259F1"/>
    <w:rsid w:val="00E25C01"/>
    <w:rsid w:val="00E26426"/>
    <w:rsid w:val="00E27CEA"/>
    <w:rsid w:val="00E3053D"/>
    <w:rsid w:val="00E30C93"/>
    <w:rsid w:val="00E31145"/>
    <w:rsid w:val="00E319E1"/>
    <w:rsid w:val="00E3326C"/>
    <w:rsid w:val="00E336E7"/>
    <w:rsid w:val="00E33EC1"/>
    <w:rsid w:val="00E33FD1"/>
    <w:rsid w:val="00E34700"/>
    <w:rsid w:val="00E3488C"/>
    <w:rsid w:val="00E34DB6"/>
    <w:rsid w:val="00E356E9"/>
    <w:rsid w:val="00E35C32"/>
    <w:rsid w:val="00E36440"/>
    <w:rsid w:val="00E36B18"/>
    <w:rsid w:val="00E37CAE"/>
    <w:rsid w:val="00E40E2A"/>
    <w:rsid w:val="00E40F0B"/>
    <w:rsid w:val="00E4157B"/>
    <w:rsid w:val="00E419D8"/>
    <w:rsid w:val="00E41F8D"/>
    <w:rsid w:val="00E42273"/>
    <w:rsid w:val="00E42295"/>
    <w:rsid w:val="00E430DD"/>
    <w:rsid w:val="00E43445"/>
    <w:rsid w:val="00E43914"/>
    <w:rsid w:val="00E43BDE"/>
    <w:rsid w:val="00E43E92"/>
    <w:rsid w:val="00E44250"/>
    <w:rsid w:val="00E4448F"/>
    <w:rsid w:val="00E44680"/>
    <w:rsid w:val="00E447E7"/>
    <w:rsid w:val="00E44933"/>
    <w:rsid w:val="00E44F00"/>
    <w:rsid w:val="00E44F41"/>
    <w:rsid w:val="00E45123"/>
    <w:rsid w:val="00E45D01"/>
    <w:rsid w:val="00E46427"/>
    <w:rsid w:val="00E46531"/>
    <w:rsid w:val="00E46B24"/>
    <w:rsid w:val="00E46BD0"/>
    <w:rsid w:val="00E46F0B"/>
    <w:rsid w:val="00E4712F"/>
    <w:rsid w:val="00E4722B"/>
    <w:rsid w:val="00E47989"/>
    <w:rsid w:val="00E47B4A"/>
    <w:rsid w:val="00E47C20"/>
    <w:rsid w:val="00E47FD6"/>
    <w:rsid w:val="00E502F5"/>
    <w:rsid w:val="00E507C0"/>
    <w:rsid w:val="00E509F3"/>
    <w:rsid w:val="00E50A4F"/>
    <w:rsid w:val="00E51094"/>
    <w:rsid w:val="00E51368"/>
    <w:rsid w:val="00E519BF"/>
    <w:rsid w:val="00E51F77"/>
    <w:rsid w:val="00E53A9E"/>
    <w:rsid w:val="00E53E7B"/>
    <w:rsid w:val="00E542B3"/>
    <w:rsid w:val="00E546E0"/>
    <w:rsid w:val="00E54BE2"/>
    <w:rsid w:val="00E54EDC"/>
    <w:rsid w:val="00E5545F"/>
    <w:rsid w:val="00E55626"/>
    <w:rsid w:val="00E560BE"/>
    <w:rsid w:val="00E562C8"/>
    <w:rsid w:val="00E56479"/>
    <w:rsid w:val="00E56A5D"/>
    <w:rsid w:val="00E56A92"/>
    <w:rsid w:val="00E57ECA"/>
    <w:rsid w:val="00E57F26"/>
    <w:rsid w:val="00E57FCB"/>
    <w:rsid w:val="00E6004A"/>
    <w:rsid w:val="00E606CF"/>
    <w:rsid w:val="00E6082A"/>
    <w:rsid w:val="00E60EE3"/>
    <w:rsid w:val="00E610E4"/>
    <w:rsid w:val="00E61723"/>
    <w:rsid w:val="00E6172C"/>
    <w:rsid w:val="00E6249B"/>
    <w:rsid w:val="00E62CD1"/>
    <w:rsid w:val="00E62DD0"/>
    <w:rsid w:val="00E6315B"/>
    <w:rsid w:val="00E63342"/>
    <w:rsid w:val="00E63556"/>
    <w:rsid w:val="00E6385E"/>
    <w:rsid w:val="00E6401D"/>
    <w:rsid w:val="00E6471C"/>
    <w:rsid w:val="00E64CB5"/>
    <w:rsid w:val="00E65A6E"/>
    <w:rsid w:val="00E66729"/>
    <w:rsid w:val="00E67203"/>
    <w:rsid w:val="00E67819"/>
    <w:rsid w:val="00E678B3"/>
    <w:rsid w:val="00E678ED"/>
    <w:rsid w:val="00E70261"/>
    <w:rsid w:val="00E709ED"/>
    <w:rsid w:val="00E70FE2"/>
    <w:rsid w:val="00E70FFF"/>
    <w:rsid w:val="00E717DA"/>
    <w:rsid w:val="00E7186A"/>
    <w:rsid w:val="00E71DD9"/>
    <w:rsid w:val="00E723C5"/>
    <w:rsid w:val="00E7255A"/>
    <w:rsid w:val="00E7355A"/>
    <w:rsid w:val="00E737C9"/>
    <w:rsid w:val="00E73BD3"/>
    <w:rsid w:val="00E741FD"/>
    <w:rsid w:val="00E748E8"/>
    <w:rsid w:val="00E75AF1"/>
    <w:rsid w:val="00E75BB0"/>
    <w:rsid w:val="00E76BD2"/>
    <w:rsid w:val="00E7753D"/>
    <w:rsid w:val="00E77DD4"/>
    <w:rsid w:val="00E8059F"/>
    <w:rsid w:val="00E80CDD"/>
    <w:rsid w:val="00E80F40"/>
    <w:rsid w:val="00E81302"/>
    <w:rsid w:val="00E817E5"/>
    <w:rsid w:val="00E82263"/>
    <w:rsid w:val="00E8262C"/>
    <w:rsid w:val="00E82CA9"/>
    <w:rsid w:val="00E8370F"/>
    <w:rsid w:val="00E83B78"/>
    <w:rsid w:val="00E83CA1"/>
    <w:rsid w:val="00E840B0"/>
    <w:rsid w:val="00E8416D"/>
    <w:rsid w:val="00E84518"/>
    <w:rsid w:val="00E84A23"/>
    <w:rsid w:val="00E84A58"/>
    <w:rsid w:val="00E84CE6"/>
    <w:rsid w:val="00E86118"/>
    <w:rsid w:val="00E8628F"/>
    <w:rsid w:val="00E86A1C"/>
    <w:rsid w:val="00E86CB2"/>
    <w:rsid w:val="00E86D48"/>
    <w:rsid w:val="00E8710F"/>
    <w:rsid w:val="00E87C9C"/>
    <w:rsid w:val="00E87F59"/>
    <w:rsid w:val="00E906A8"/>
    <w:rsid w:val="00E91704"/>
    <w:rsid w:val="00E9176A"/>
    <w:rsid w:val="00E91E38"/>
    <w:rsid w:val="00E91F72"/>
    <w:rsid w:val="00E93567"/>
    <w:rsid w:val="00E93AEA"/>
    <w:rsid w:val="00E94793"/>
    <w:rsid w:val="00E94C8D"/>
    <w:rsid w:val="00E95142"/>
    <w:rsid w:val="00E961A9"/>
    <w:rsid w:val="00E96ECF"/>
    <w:rsid w:val="00EA022E"/>
    <w:rsid w:val="00EA0240"/>
    <w:rsid w:val="00EA02BA"/>
    <w:rsid w:val="00EA05B5"/>
    <w:rsid w:val="00EA0714"/>
    <w:rsid w:val="00EA0B42"/>
    <w:rsid w:val="00EA10C6"/>
    <w:rsid w:val="00EA1395"/>
    <w:rsid w:val="00EA190B"/>
    <w:rsid w:val="00EA1A0C"/>
    <w:rsid w:val="00EA1BEF"/>
    <w:rsid w:val="00EA1F97"/>
    <w:rsid w:val="00EA1FC0"/>
    <w:rsid w:val="00EA2742"/>
    <w:rsid w:val="00EA30D8"/>
    <w:rsid w:val="00EA32A2"/>
    <w:rsid w:val="00EA34AE"/>
    <w:rsid w:val="00EA37BE"/>
    <w:rsid w:val="00EA428E"/>
    <w:rsid w:val="00EA47E6"/>
    <w:rsid w:val="00EA4DA6"/>
    <w:rsid w:val="00EA4DF4"/>
    <w:rsid w:val="00EA6362"/>
    <w:rsid w:val="00EA6CDA"/>
    <w:rsid w:val="00EA752B"/>
    <w:rsid w:val="00EA75F3"/>
    <w:rsid w:val="00EA7B28"/>
    <w:rsid w:val="00EA7E9F"/>
    <w:rsid w:val="00EB060D"/>
    <w:rsid w:val="00EB1BBC"/>
    <w:rsid w:val="00EB2459"/>
    <w:rsid w:val="00EB2C86"/>
    <w:rsid w:val="00EB2E26"/>
    <w:rsid w:val="00EB329F"/>
    <w:rsid w:val="00EB4B59"/>
    <w:rsid w:val="00EB4EC0"/>
    <w:rsid w:val="00EB519B"/>
    <w:rsid w:val="00EB5615"/>
    <w:rsid w:val="00EB568C"/>
    <w:rsid w:val="00EB5D80"/>
    <w:rsid w:val="00EB6D4C"/>
    <w:rsid w:val="00EB73F6"/>
    <w:rsid w:val="00EB795F"/>
    <w:rsid w:val="00EB7CE0"/>
    <w:rsid w:val="00EC1AA5"/>
    <w:rsid w:val="00EC1BE8"/>
    <w:rsid w:val="00EC21E9"/>
    <w:rsid w:val="00EC2931"/>
    <w:rsid w:val="00EC2B7D"/>
    <w:rsid w:val="00EC3044"/>
    <w:rsid w:val="00EC3AB3"/>
    <w:rsid w:val="00EC3AB8"/>
    <w:rsid w:val="00EC5A1A"/>
    <w:rsid w:val="00EC5B97"/>
    <w:rsid w:val="00EC5BCB"/>
    <w:rsid w:val="00EC7412"/>
    <w:rsid w:val="00EC7F4E"/>
    <w:rsid w:val="00ED03FE"/>
    <w:rsid w:val="00ED0F67"/>
    <w:rsid w:val="00ED186F"/>
    <w:rsid w:val="00ED237C"/>
    <w:rsid w:val="00ED28C8"/>
    <w:rsid w:val="00ED3133"/>
    <w:rsid w:val="00ED3350"/>
    <w:rsid w:val="00ED3372"/>
    <w:rsid w:val="00ED3A76"/>
    <w:rsid w:val="00ED40B7"/>
    <w:rsid w:val="00ED44F0"/>
    <w:rsid w:val="00ED4636"/>
    <w:rsid w:val="00ED54CA"/>
    <w:rsid w:val="00ED60FD"/>
    <w:rsid w:val="00ED64BB"/>
    <w:rsid w:val="00ED6522"/>
    <w:rsid w:val="00ED682F"/>
    <w:rsid w:val="00ED74DD"/>
    <w:rsid w:val="00ED7C37"/>
    <w:rsid w:val="00EE02A9"/>
    <w:rsid w:val="00EE0506"/>
    <w:rsid w:val="00EE0A91"/>
    <w:rsid w:val="00EE12B6"/>
    <w:rsid w:val="00EE1AB3"/>
    <w:rsid w:val="00EE214A"/>
    <w:rsid w:val="00EE23CB"/>
    <w:rsid w:val="00EE2D37"/>
    <w:rsid w:val="00EE3456"/>
    <w:rsid w:val="00EE3536"/>
    <w:rsid w:val="00EE3979"/>
    <w:rsid w:val="00EE3F79"/>
    <w:rsid w:val="00EE4A5D"/>
    <w:rsid w:val="00EE5586"/>
    <w:rsid w:val="00EE5F29"/>
    <w:rsid w:val="00EE5F65"/>
    <w:rsid w:val="00EE6E9D"/>
    <w:rsid w:val="00EE7B6B"/>
    <w:rsid w:val="00EE7B81"/>
    <w:rsid w:val="00EF17D2"/>
    <w:rsid w:val="00EF1E06"/>
    <w:rsid w:val="00EF2A68"/>
    <w:rsid w:val="00EF3475"/>
    <w:rsid w:val="00EF3ECF"/>
    <w:rsid w:val="00EF45E4"/>
    <w:rsid w:val="00EF48EE"/>
    <w:rsid w:val="00EF519E"/>
    <w:rsid w:val="00EF5EE9"/>
    <w:rsid w:val="00EF64A5"/>
    <w:rsid w:val="00EF684D"/>
    <w:rsid w:val="00EF6A4E"/>
    <w:rsid w:val="00EF766D"/>
    <w:rsid w:val="00EF799A"/>
    <w:rsid w:val="00EF7C88"/>
    <w:rsid w:val="00EF7F0B"/>
    <w:rsid w:val="00F00161"/>
    <w:rsid w:val="00F00D88"/>
    <w:rsid w:val="00F00D99"/>
    <w:rsid w:val="00F01148"/>
    <w:rsid w:val="00F022C4"/>
    <w:rsid w:val="00F028A2"/>
    <w:rsid w:val="00F02D6F"/>
    <w:rsid w:val="00F03442"/>
    <w:rsid w:val="00F035F0"/>
    <w:rsid w:val="00F03CE3"/>
    <w:rsid w:val="00F04269"/>
    <w:rsid w:val="00F044D3"/>
    <w:rsid w:val="00F04AD6"/>
    <w:rsid w:val="00F054A9"/>
    <w:rsid w:val="00F05D79"/>
    <w:rsid w:val="00F0609C"/>
    <w:rsid w:val="00F063F5"/>
    <w:rsid w:val="00F06512"/>
    <w:rsid w:val="00F0665F"/>
    <w:rsid w:val="00F06B14"/>
    <w:rsid w:val="00F07789"/>
    <w:rsid w:val="00F07966"/>
    <w:rsid w:val="00F07FEE"/>
    <w:rsid w:val="00F10B09"/>
    <w:rsid w:val="00F11BAA"/>
    <w:rsid w:val="00F11E65"/>
    <w:rsid w:val="00F13659"/>
    <w:rsid w:val="00F13AB3"/>
    <w:rsid w:val="00F14213"/>
    <w:rsid w:val="00F147B1"/>
    <w:rsid w:val="00F1579B"/>
    <w:rsid w:val="00F15D42"/>
    <w:rsid w:val="00F162EC"/>
    <w:rsid w:val="00F16B52"/>
    <w:rsid w:val="00F16ED4"/>
    <w:rsid w:val="00F20A9C"/>
    <w:rsid w:val="00F20ED4"/>
    <w:rsid w:val="00F21A06"/>
    <w:rsid w:val="00F21AF2"/>
    <w:rsid w:val="00F2240B"/>
    <w:rsid w:val="00F23555"/>
    <w:rsid w:val="00F23E04"/>
    <w:rsid w:val="00F24372"/>
    <w:rsid w:val="00F2441E"/>
    <w:rsid w:val="00F2534F"/>
    <w:rsid w:val="00F255A9"/>
    <w:rsid w:val="00F259F8"/>
    <w:rsid w:val="00F25B68"/>
    <w:rsid w:val="00F25BBB"/>
    <w:rsid w:val="00F26111"/>
    <w:rsid w:val="00F26125"/>
    <w:rsid w:val="00F261B2"/>
    <w:rsid w:val="00F26632"/>
    <w:rsid w:val="00F27BFE"/>
    <w:rsid w:val="00F27C39"/>
    <w:rsid w:val="00F306F9"/>
    <w:rsid w:val="00F30F4A"/>
    <w:rsid w:val="00F31A2D"/>
    <w:rsid w:val="00F32583"/>
    <w:rsid w:val="00F33635"/>
    <w:rsid w:val="00F33BD7"/>
    <w:rsid w:val="00F33DC9"/>
    <w:rsid w:val="00F350AD"/>
    <w:rsid w:val="00F355DF"/>
    <w:rsid w:val="00F357A8"/>
    <w:rsid w:val="00F35DA7"/>
    <w:rsid w:val="00F36940"/>
    <w:rsid w:val="00F36CCD"/>
    <w:rsid w:val="00F37073"/>
    <w:rsid w:val="00F3724F"/>
    <w:rsid w:val="00F3759B"/>
    <w:rsid w:val="00F37B7C"/>
    <w:rsid w:val="00F37E7D"/>
    <w:rsid w:val="00F37F8C"/>
    <w:rsid w:val="00F404FD"/>
    <w:rsid w:val="00F420D6"/>
    <w:rsid w:val="00F4396C"/>
    <w:rsid w:val="00F44297"/>
    <w:rsid w:val="00F4571F"/>
    <w:rsid w:val="00F4613A"/>
    <w:rsid w:val="00F4634A"/>
    <w:rsid w:val="00F46411"/>
    <w:rsid w:val="00F465C9"/>
    <w:rsid w:val="00F46C45"/>
    <w:rsid w:val="00F46D9B"/>
    <w:rsid w:val="00F477EA"/>
    <w:rsid w:val="00F479AD"/>
    <w:rsid w:val="00F5017F"/>
    <w:rsid w:val="00F52130"/>
    <w:rsid w:val="00F53DF4"/>
    <w:rsid w:val="00F540D5"/>
    <w:rsid w:val="00F54442"/>
    <w:rsid w:val="00F545CD"/>
    <w:rsid w:val="00F552A6"/>
    <w:rsid w:val="00F55567"/>
    <w:rsid w:val="00F558E4"/>
    <w:rsid w:val="00F55AE1"/>
    <w:rsid w:val="00F55AF3"/>
    <w:rsid w:val="00F5675D"/>
    <w:rsid w:val="00F568E2"/>
    <w:rsid w:val="00F57DEA"/>
    <w:rsid w:val="00F604F8"/>
    <w:rsid w:val="00F60BBC"/>
    <w:rsid w:val="00F60F87"/>
    <w:rsid w:val="00F618E0"/>
    <w:rsid w:val="00F61DF0"/>
    <w:rsid w:val="00F61F86"/>
    <w:rsid w:val="00F6304C"/>
    <w:rsid w:val="00F6342E"/>
    <w:rsid w:val="00F63850"/>
    <w:rsid w:val="00F639A3"/>
    <w:rsid w:val="00F63F22"/>
    <w:rsid w:val="00F64176"/>
    <w:rsid w:val="00F642A1"/>
    <w:rsid w:val="00F646AF"/>
    <w:rsid w:val="00F64956"/>
    <w:rsid w:val="00F64DC3"/>
    <w:rsid w:val="00F64DCA"/>
    <w:rsid w:val="00F6510F"/>
    <w:rsid w:val="00F66DF2"/>
    <w:rsid w:val="00F6754D"/>
    <w:rsid w:val="00F675B2"/>
    <w:rsid w:val="00F676FB"/>
    <w:rsid w:val="00F7035E"/>
    <w:rsid w:val="00F70DF7"/>
    <w:rsid w:val="00F714C8"/>
    <w:rsid w:val="00F717A0"/>
    <w:rsid w:val="00F72231"/>
    <w:rsid w:val="00F72580"/>
    <w:rsid w:val="00F72C18"/>
    <w:rsid w:val="00F72E84"/>
    <w:rsid w:val="00F73A70"/>
    <w:rsid w:val="00F748F8"/>
    <w:rsid w:val="00F77355"/>
    <w:rsid w:val="00F775A3"/>
    <w:rsid w:val="00F77DF3"/>
    <w:rsid w:val="00F806D0"/>
    <w:rsid w:val="00F80D65"/>
    <w:rsid w:val="00F80E8A"/>
    <w:rsid w:val="00F8114E"/>
    <w:rsid w:val="00F82063"/>
    <w:rsid w:val="00F82585"/>
    <w:rsid w:val="00F82768"/>
    <w:rsid w:val="00F82932"/>
    <w:rsid w:val="00F836A9"/>
    <w:rsid w:val="00F84B51"/>
    <w:rsid w:val="00F84E43"/>
    <w:rsid w:val="00F8661C"/>
    <w:rsid w:val="00F8713A"/>
    <w:rsid w:val="00F876B0"/>
    <w:rsid w:val="00F902D0"/>
    <w:rsid w:val="00F9030D"/>
    <w:rsid w:val="00F90563"/>
    <w:rsid w:val="00F92C88"/>
    <w:rsid w:val="00F9301E"/>
    <w:rsid w:val="00F9434B"/>
    <w:rsid w:val="00F9435E"/>
    <w:rsid w:val="00F94922"/>
    <w:rsid w:val="00F95122"/>
    <w:rsid w:val="00F9611F"/>
    <w:rsid w:val="00F96F13"/>
    <w:rsid w:val="00F97091"/>
    <w:rsid w:val="00F970E8"/>
    <w:rsid w:val="00FA0125"/>
    <w:rsid w:val="00FA1EFC"/>
    <w:rsid w:val="00FA1F91"/>
    <w:rsid w:val="00FA2EDC"/>
    <w:rsid w:val="00FA3C3B"/>
    <w:rsid w:val="00FA4360"/>
    <w:rsid w:val="00FA5443"/>
    <w:rsid w:val="00FA55D3"/>
    <w:rsid w:val="00FA5DDC"/>
    <w:rsid w:val="00FA6916"/>
    <w:rsid w:val="00FA6A07"/>
    <w:rsid w:val="00FA6BAB"/>
    <w:rsid w:val="00FA74C6"/>
    <w:rsid w:val="00FA7D11"/>
    <w:rsid w:val="00FB0934"/>
    <w:rsid w:val="00FB0FA3"/>
    <w:rsid w:val="00FB10F5"/>
    <w:rsid w:val="00FB15A1"/>
    <w:rsid w:val="00FB187B"/>
    <w:rsid w:val="00FB297C"/>
    <w:rsid w:val="00FB2A37"/>
    <w:rsid w:val="00FB2D1C"/>
    <w:rsid w:val="00FB30FC"/>
    <w:rsid w:val="00FB319B"/>
    <w:rsid w:val="00FB3ECD"/>
    <w:rsid w:val="00FB48DE"/>
    <w:rsid w:val="00FB6056"/>
    <w:rsid w:val="00FB6514"/>
    <w:rsid w:val="00FB6868"/>
    <w:rsid w:val="00FB707B"/>
    <w:rsid w:val="00FB78A2"/>
    <w:rsid w:val="00FB7F36"/>
    <w:rsid w:val="00FC06D1"/>
    <w:rsid w:val="00FC1F2D"/>
    <w:rsid w:val="00FC1FDA"/>
    <w:rsid w:val="00FC2D1C"/>
    <w:rsid w:val="00FC3498"/>
    <w:rsid w:val="00FC38D4"/>
    <w:rsid w:val="00FC4148"/>
    <w:rsid w:val="00FC5376"/>
    <w:rsid w:val="00FC5876"/>
    <w:rsid w:val="00FC5CB3"/>
    <w:rsid w:val="00FC5FF7"/>
    <w:rsid w:val="00FC6C6D"/>
    <w:rsid w:val="00FC70B6"/>
    <w:rsid w:val="00FC7249"/>
    <w:rsid w:val="00FC725F"/>
    <w:rsid w:val="00FC7403"/>
    <w:rsid w:val="00FC74CD"/>
    <w:rsid w:val="00FD06A1"/>
    <w:rsid w:val="00FD06C9"/>
    <w:rsid w:val="00FD18F3"/>
    <w:rsid w:val="00FD1919"/>
    <w:rsid w:val="00FD1D1D"/>
    <w:rsid w:val="00FD1D5E"/>
    <w:rsid w:val="00FD1E2D"/>
    <w:rsid w:val="00FD2DE5"/>
    <w:rsid w:val="00FD37E5"/>
    <w:rsid w:val="00FD4722"/>
    <w:rsid w:val="00FD56DD"/>
    <w:rsid w:val="00FD6276"/>
    <w:rsid w:val="00FD6952"/>
    <w:rsid w:val="00FD7846"/>
    <w:rsid w:val="00FE0AEE"/>
    <w:rsid w:val="00FE0BB7"/>
    <w:rsid w:val="00FE0C3B"/>
    <w:rsid w:val="00FE0E0E"/>
    <w:rsid w:val="00FE2B31"/>
    <w:rsid w:val="00FE336E"/>
    <w:rsid w:val="00FE3562"/>
    <w:rsid w:val="00FE37AD"/>
    <w:rsid w:val="00FE398B"/>
    <w:rsid w:val="00FE4636"/>
    <w:rsid w:val="00FE55EF"/>
    <w:rsid w:val="00FE5743"/>
    <w:rsid w:val="00FE7CDD"/>
    <w:rsid w:val="00FE7FF1"/>
    <w:rsid w:val="00FF156E"/>
    <w:rsid w:val="00FF2E24"/>
    <w:rsid w:val="00FF3CC2"/>
    <w:rsid w:val="00FF420B"/>
    <w:rsid w:val="00FF4E51"/>
    <w:rsid w:val="00FF57E7"/>
    <w:rsid w:val="00FF6461"/>
    <w:rsid w:val="00FF6AC9"/>
    <w:rsid w:val="00FF6CED"/>
    <w:rsid w:val="00FF712F"/>
    <w:rsid w:val="00FF71B6"/>
    <w:rsid w:val="00FF7540"/>
    <w:rsid w:val="00FF772B"/>
    <w:rsid w:val="00FF7F59"/>
    <w:rsid w:val="0BD41B27"/>
    <w:rsid w:val="20507D4B"/>
    <w:rsid w:val="37A778DB"/>
    <w:rsid w:val="42F202AD"/>
    <w:rsid w:val="48C91E58"/>
    <w:rsid w:val="53902956"/>
    <w:rsid w:val="698B4DB4"/>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uiPriority="39" w:semiHidden="0" w:name="toc 9"/>
    <w:lsdException w:uiPriority="0" w:name="Normal Indent"/>
    <w:lsdException w:qFormat="1" w:uiPriority="99" w:semiHidden="0" w:name="footnote text"/>
    <w:lsdException w:qFormat="1" w:uiPriority="99" w:semiHidden="0" w:name="annotation text"/>
    <w:lsdException w:qFormat="1" w:uiPriority="0" w:semiHidden="0" w:name="header"/>
    <w:lsdException w:qFormat="1"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iPriority="99" w:semiHidden="0" w:name="footnote reference"/>
    <w:lsdException w:qFormat="1" w:uiPriority="99" w:semiHidden="0" w:name="annotation reference"/>
    <w:lsdException w:uiPriority="0" w:name="line number"/>
    <w:lsdException w:uiPriority="0" w:name="page number"/>
    <w:lsdException w:qFormat="1" w:uiPriority="99" w:semiHidden="0" w:name="endnote reference"/>
    <w:lsdException w:qFormat="1" w:uiPriority="99" w:semiHidden="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iPriority="0" w:name="Salutation"/>
    <w:lsdException w:qFormat="1" w:uiPriority="99"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99" w:semiHidden="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qFormat="1"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ind w:firstLine="200" w:firstLineChars="200"/>
      <w:jc w:val="both"/>
    </w:pPr>
    <w:rPr>
      <w:rFonts w:ascii="Times New Roman" w:hAnsi="Times New Roman" w:eastAsia="宋体" w:cs="Times New Roman"/>
      <w:snapToGrid w:val="0"/>
      <w:sz w:val="21"/>
      <w:lang w:val="en-US" w:eastAsia="zh-CN" w:bidi="ar-SA"/>
    </w:rPr>
  </w:style>
  <w:style w:type="paragraph" w:styleId="2">
    <w:name w:val="heading 1"/>
    <w:basedOn w:val="1"/>
    <w:next w:val="1"/>
    <w:link w:val="40"/>
    <w:qFormat/>
    <w:uiPriority w:val="0"/>
    <w:pPr>
      <w:keepNext/>
      <w:keepLines/>
      <w:snapToGrid/>
      <w:ind w:firstLine="0" w:firstLineChars="0"/>
      <w:outlineLvl w:val="0"/>
    </w:pPr>
    <w:rPr>
      <w:rFonts w:eastAsia="黑体"/>
      <w:bCs/>
      <w:kern w:val="44"/>
      <w:sz w:val="28"/>
      <w:szCs w:val="44"/>
    </w:rPr>
  </w:style>
  <w:style w:type="paragraph" w:styleId="3">
    <w:name w:val="heading 2"/>
    <w:basedOn w:val="1"/>
    <w:next w:val="1"/>
    <w:link w:val="41"/>
    <w:qFormat/>
    <w:uiPriority w:val="0"/>
    <w:pPr>
      <w:keepNext/>
      <w:keepLines/>
      <w:snapToGrid/>
      <w:ind w:firstLine="0" w:firstLineChars="0"/>
      <w:outlineLvl w:val="1"/>
    </w:pPr>
    <w:rPr>
      <w:rFonts w:eastAsia="黑体"/>
      <w:bCs/>
      <w:sz w:val="24"/>
      <w:szCs w:val="32"/>
    </w:rPr>
  </w:style>
  <w:style w:type="paragraph" w:styleId="4">
    <w:name w:val="heading 3"/>
    <w:basedOn w:val="1"/>
    <w:next w:val="1"/>
    <w:link w:val="42"/>
    <w:qFormat/>
    <w:uiPriority w:val="9"/>
    <w:pPr>
      <w:keepNext/>
      <w:keepLines/>
      <w:snapToGrid/>
      <w:ind w:firstLine="0" w:firstLineChars="0"/>
      <w:outlineLvl w:val="2"/>
    </w:pPr>
    <w:rPr>
      <w:rFonts w:eastAsia="黑体"/>
      <w:bCs/>
      <w:szCs w:val="32"/>
    </w:rPr>
  </w:style>
  <w:style w:type="paragraph" w:styleId="5">
    <w:name w:val="heading 4"/>
    <w:basedOn w:val="1"/>
    <w:next w:val="1"/>
    <w:link w:val="43"/>
    <w:qFormat/>
    <w:uiPriority w:val="0"/>
    <w:pPr>
      <w:keepNext/>
      <w:keepLines/>
      <w:snapToGrid/>
      <w:spacing w:before="280" w:after="290" w:line="376" w:lineRule="auto"/>
      <w:ind w:firstLine="0"/>
      <w:outlineLvl w:val="3"/>
    </w:pPr>
    <w:rPr>
      <w:rFonts w:ascii="Cambria" w:hAnsi="Cambria"/>
      <w:b/>
      <w:bCs/>
      <w:kern w:val="2"/>
      <w:sz w:val="28"/>
      <w:szCs w:val="28"/>
    </w:rPr>
  </w:style>
  <w:style w:type="character" w:default="1" w:styleId="27">
    <w:name w:val="Default Paragraph Font"/>
    <w:unhideWhenUsed/>
    <w:uiPriority w:val="1"/>
  </w:style>
  <w:style w:type="table" w:default="1" w:styleId="34">
    <w:name w:val="Normal Table"/>
    <w:unhideWhenUsed/>
    <w:uiPriority w:val="99"/>
    <w:tblPr>
      <w:tblStyle w:val="34"/>
      <w:tblLayout w:type="fixed"/>
      <w:tblCellMar>
        <w:top w:w="0" w:type="dxa"/>
        <w:left w:w="108" w:type="dxa"/>
        <w:bottom w:w="0" w:type="dxa"/>
        <w:right w:w="108" w:type="dxa"/>
      </w:tblCellMar>
    </w:tblPr>
    <w:tcPr>
      <w:textDirection w:val="lrTb"/>
    </w:tcPr>
  </w:style>
  <w:style w:type="paragraph" w:styleId="6">
    <w:name w:val="annotation subject"/>
    <w:basedOn w:val="7"/>
    <w:next w:val="7"/>
    <w:link w:val="53"/>
    <w:unhideWhenUsed/>
    <w:qFormat/>
    <w:uiPriority w:val="99"/>
    <w:rPr>
      <w:b/>
      <w:bCs/>
    </w:rPr>
  </w:style>
  <w:style w:type="paragraph" w:styleId="7">
    <w:name w:val="annotation text"/>
    <w:basedOn w:val="1"/>
    <w:link w:val="52"/>
    <w:unhideWhenUsed/>
    <w:qFormat/>
    <w:uiPriority w:val="99"/>
    <w:pPr>
      <w:jc w:val="left"/>
    </w:pPr>
  </w:style>
  <w:style w:type="paragraph" w:styleId="8">
    <w:name w:val="toc 7"/>
    <w:basedOn w:val="1"/>
    <w:next w:val="1"/>
    <w:unhideWhenUsed/>
    <w:qFormat/>
    <w:uiPriority w:val="39"/>
    <w:pPr>
      <w:ind w:left="1260"/>
      <w:jc w:val="left"/>
    </w:pPr>
    <w:rPr>
      <w:rFonts w:ascii="Calibri" w:hAnsi="Calibri"/>
      <w:sz w:val="18"/>
      <w:szCs w:val="18"/>
    </w:rPr>
  </w:style>
  <w:style w:type="paragraph" w:styleId="9">
    <w:name w:val="Document Map"/>
    <w:basedOn w:val="1"/>
    <w:link w:val="45"/>
    <w:unhideWhenUsed/>
    <w:uiPriority w:val="99"/>
    <w:rPr>
      <w:rFonts w:ascii="宋体"/>
      <w:sz w:val="18"/>
      <w:szCs w:val="18"/>
    </w:rPr>
  </w:style>
  <w:style w:type="paragraph" w:styleId="10">
    <w:name w:val="Body Text"/>
    <w:basedOn w:val="1"/>
    <w:link w:val="54"/>
    <w:qFormat/>
    <w:uiPriority w:val="1"/>
    <w:pPr>
      <w:adjustRightInd w:val="0"/>
      <w:snapToGrid/>
      <w:ind w:left="116" w:firstLine="0"/>
      <w:jc w:val="left"/>
    </w:pPr>
    <w:rPr>
      <w:rFonts w:ascii="宋体"/>
      <w:sz w:val="20"/>
      <w:szCs w:val="21"/>
    </w:rPr>
  </w:style>
  <w:style w:type="paragraph" w:styleId="11">
    <w:name w:val="toc 5"/>
    <w:basedOn w:val="1"/>
    <w:next w:val="1"/>
    <w:unhideWhenUsed/>
    <w:qFormat/>
    <w:uiPriority w:val="39"/>
    <w:pPr>
      <w:ind w:left="840"/>
      <w:jc w:val="left"/>
    </w:pPr>
    <w:rPr>
      <w:rFonts w:ascii="Calibri" w:hAnsi="Calibri"/>
      <w:sz w:val="18"/>
      <w:szCs w:val="18"/>
    </w:rPr>
  </w:style>
  <w:style w:type="paragraph" w:styleId="12">
    <w:name w:val="toc 3"/>
    <w:basedOn w:val="1"/>
    <w:next w:val="1"/>
    <w:unhideWhenUsed/>
    <w:uiPriority w:val="39"/>
    <w:pPr>
      <w:ind w:left="420"/>
      <w:jc w:val="left"/>
    </w:pPr>
    <w:rPr>
      <w:rFonts w:ascii="Calibri" w:hAnsi="Calibri"/>
      <w:i/>
      <w:iCs/>
      <w:sz w:val="20"/>
    </w:rPr>
  </w:style>
  <w:style w:type="paragraph" w:styleId="13">
    <w:name w:val="toc 8"/>
    <w:basedOn w:val="1"/>
    <w:next w:val="1"/>
    <w:unhideWhenUsed/>
    <w:qFormat/>
    <w:uiPriority w:val="39"/>
    <w:pPr>
      <w:ind w:left="1470"/>
      <w:jc w:val="left"/>
    </w:pPr>
    <w:rPr>
      <w:rFonts w:ascii="Calibri" w:hAnsi="Calibri"/>
      <w:sz w:val="18"/>
      <w:szCs w:val="18"/>
    </w:rPr>
  </w:style>
  <w:style w:type="paragraph" w:styleId="14">
    <w:name w:val="Date"/>
    <w:basedOn w:val="1"/>
    <w:next w:val="1"/>
    <w:link w:val="51"/>
    <w:unhideWhenUsed/>
    <w:qFormat/>
    <w:uiPriority w:val="99"/>
    <w:pPr>
      <w:ind w:left="100" w:leftChars="2500"/>
    </w:pPr>
  </w:style>
  <w:style w:type="paragraph" w:styleId="15">
    <w:name w:val="endnote text"/>
    <w:basedOn w:val="1"/>
    <w:link w:val="49"/>
    <w:unhideWhenUsed/>
    <w:qFormat/>
    <w:uiPriority w:val="99"/>
    <w:pPr>
      <w:jc w:val="left"/>
    </w:pPr>
  </w:style>
  <w:style w:type="paragraph" w:styleId="16">
    <w:name w:val="Balloon Text"/>
    <w:basedOn w:val="1"/>
    <w:link w:val="48"/>
    <w:unhideWhenUsed/>
    <w:qFormat/>
    <w:uiPriority w:val="99"/>
    <w:rPr>
      <w:sz w:val="18"/>
      <w:szCs w:val="18"/>
    </w:rPr>
  </w:style>
  <w:style w:type="paragraph" w:styleId="17">
    <w:name w:val="footer"/>
    <w:basedOn w:val="1"/>
    <w:link w:val="47"/>
    <w:unhideWhenUsed/>
    <w:qFormat/>
    <w:uiPriority w:val="99"/>
    <w:pPr>
      <w:tabs>
        <w:tab w:val="center" w:pos="4153"/>
        <w:tab w:val="right" w:pos="8306"/>
      </w:tabs>
      <w:spacing w:line="240" w:lineRule="atLeast"/>
      <w:jc w:val="left"/>
    </w:pPr>
    <w:rPr>
      <w:sz w:val="18"/>
      <w:szCs w:val="18"/>
    </w:rPr>
  </w:style>
  <w:style w:type="paragraph" w:styleId="18">
    <w:name w:val="header"/>
    <w:basedOn w:val="1"/>
    <w:link w:val="46"/>
    <w:unhideWhenUsed/>
    <w:qFormat/>
    <w:uiPriority w:val="0"/>
    <w:pPr>
      <w:pBdr>
        <w:bottom w:val="single" w:color="auto" w:sz="6" w:space="1"/>
      </w:pBdr>
      <w:tabs>
        <w:tab w:val="center" w:pos="4153"/>
        <w:tab w:val="right" w:pos="8306"/>
      </w:tabs>
      <w:spacing w:line="240" w:lineRule="atLeast"/>
      <w:jc w:val="center"/>
    </w:pPr>
    <w:rPr>
      <w:sz w:val="18"/>
      <w:szCs w:val="18"/>
    </w:rPr>
  </w:style>
  <w:style w:type="paragraph" w:styleId="19">
    <w:name w:val="toc 1"/>
    <w:basedOn w:val="1"/>
    <w:next w:val="1"/>
    <w:unhideWhenUsed/>
    <w:qFormat/>
    <w:uiPriority w:val="39"/>
    <w:pPr>
      <w:spacing w:before="120" w:after="120"/>
      <w:jc w:val="left"/>
    </w:pPr>
    <w:rPr>
      <w:rFonts w:ascii="Calibri" w:hAnsi="Calibri"/>
      <w:b/>
      <w:bCs/>
      <w:caps/>
      <w:sz w:val="20"/>
    </w:rPr>
  </w:style>
  <w:style w:type="paragraph" w:styleId="20">
    <w:name w:val="toc 4"/>
    <w:basedOn w:val="1"/>
    <w:next w:val="1"/>
    <w:unhideWhenUsed/>
    <w:qFormat/>
    <w:uiPriority w:val="39"/>
    <w:pPr>
      <w:ind w:left="630"/>
      <w:jc w:val="left"/>
    </w:pPr>
    <w:rPr>
      <w:rFonts w:ascii="Calibri" w:hAnsi="Calibri"/>
      <w:sz w:val="18"/>
      <w:szCs w:val="18"/>
    </w:rPr>
  </w:style>
  <w:style w:type="paragraph" w:styleId="21">
    <w:name w:val="footnote text"/>
    <w:basedOn w:val="1"/>
    <w:link w:val="50"/>
    <w:unhideWhenUsed/>
    <w:qFormat/>
    <w:uiPriority w:val="99"/>
    <w:pPr>
      <w:jc w:val="left"/>
    </w:pPr>
    <w:rPr>
      <w:sz w:val="18"/>
      <w:szCs w:val="18"/>
    </w:rPr>
  </w:style>
  <w:style w:type="paragraph" w:styleId="22">
    <w:name w:val="toc 6"/>
    <w:basedOn w:val="1"/>
    <w:next w:val="1"/>
    <w:unhideWhenUsed/>
    <w:qFormat/>
    <w:uiPriority w:val="39"/>
    <w:pPr>
      <w:ind w:left="1050"/>
      <w:jc w:val="left"/>
    </w:pPr>
    <w:rPr>
      <w:rFonts w:ascii="Calibri" w:hAnsi="Calibri"/>
      <w:sz w:val="18"/>
      <w:szCs w:val="18"/>
    </w:rPr>
  </w:style>
  <w:style w:type="paragraph" w:styleId="23">
    <w:name w:val="toc 2"/>
    <w:basedOn w:val="1"/>
    <w:next w:val="1"/>
    <w:unhideWhenUsed/>
    <w:qFormat/>
    <w:uiPriority w:val="39"/>
    <w:pPr>
      <w:ind w:left="210"/>
      <w:jc w:val="left"/>
    </w:pPr>
    <w:rPr>
      <w:rFonts w:ascii="Calibri" w:hAnsi="Calibri"/>
      <w:smallCaps/>
      <w:sz w:val="20"/>
    </w:rPr>
  </w:style>
  <w:style w:type="paragraph" w:styleId="24">
    <w:name w:val="toc 9"/>
    <w:basedOn w:val="1"/>
    <w:next w:val="1"/>
    <w:unhideWhenUsed/>
    <w:uiPriority w:val="39"/>
    <w:pPr>
      <w:ind w:left="1680"/>
      <w:jc w:val="left"/>
    </w:pPr>
    <w:rPr>
      <w:rFonts w:ascii="Calibri" w:hAnsi="Calibri"/>
      <w:sz w:val="18"/>
      <w:szCs w:val="18"/>
    </w:rPr>
  </w:style>
  <w:style w:type="paragraph" w:styleId="25">
    <w:name w:val="Normal (Web)"/>
    <w:basedOn w:val="1"/>
    <w:unhideWhenUsed/>
    <w:qFormat/>
    <w:uiPriority w:val="99"/>
    <w:pPr>
      <w:widowControl/>
      <w:snapToGrid/>
      <w:spacing w:before="100" w:beforeAutospacing="1" w:after="100" w:afterAutospacing="1"/>
      <w:ind w:firstLine="0"/>
      <w:jc w:val="left"/>
    </w:pPr>
    <w:rPr>
      <w:rFonts w:ascii="宋体" w:hAnsi="宋体" w:cs="宋体"/>
      <w:sz w:val="24"/>
      <w:szCs w:val="24"/>
    </w:rPr>
  </w:style>
  <w:style w:type="paragraph" w:styleId="26">
    <w:name w:val="Title"/>
    <w:basedOn w:val="1"/>
    <w:next w:val="1"/>
    <w:link w:val="44"/>
    <w:qFormat/>
    <w:uiPriority w:val="0"/>
    <w:pPr>
      <w:spacing w:before="240" w:after="60"/>
      <w:jc w:val="center"/>
      <w:outlineLvl w:val="0"/>
    </w:pPr>
    <w:rPr>
      <w:rFonts w:ascii="Cambria" w:hAnsi="Cambria"/>
      <w:b/>
      <w:bCs/>
      <w:szCs w:val="32"/>
    </w:rPr>
  </w:style>
  <w:style w:type="character" w:styleId="28">
    <w:name w:val="Strong"/>
    <w:qFormat/>
    <w:uiPriority w:val="0"/>
    <w:rPr>
      <w:b/>
      <w:bCs/>
    </w:rPr>
  </w:style>
  <w:style w:type="character" w:styleId="29">
    <w:name w:val="endnote reference"/>
    <w:basedOn w:val="27"/>
    <w:unhideWhenUsed/>
    <w:qFormat/>
    <w:uiPriority w:val="99"/>
    <w:rPr>
      <w:vertAlign w:val="superscript"/>
    </w:rPr>
  </w:style>
  <w:style w:type="character" w:styleId="30">
    <w:name w:val="Emphasis"/>
    <w:qFormat/>
    <w:uiPriority w:val="0"/>
    <w:rPr>
      <w:i/>
      <w:iCs/>
    </w:rPr>
  </w:style>
  <w:style w:type="character" w:styleId="31">
    <w:name w:val="Hyperlink"/>
    <w:basedOn w:val="27"/>
    <w:unhideWhenUsed/>
    <w:qFormat/>
    <w:uiPriority w:val="99"/>
    <w:rPr>
      <w:color w:val="0000FF"/>
      <w:u w:val="single"/>
    </w:rPr>
  </w:style>
  <w:style w:type="character" w:styleId="32">
    <w:name w:val="annotation reference"/>
    <w:basedOn w:val="27"/>
    <w:unhideWhenUsed/>
    <w:qFormat/>
    <w:uiPriority w:val="99"/>
    <w:rPr>
      <w:sz w:val="21"/>
      <w:szCs w:val="21"/>
    </w:rPr>
  </w:style>
  <w:style w:type="character" w:styleId="33">
    <w:name w:val="footnote reference"/>
    <w:basedOn w:val="27"/>
    <w:unhideWhenUsed/>
    <w:qFormat/>
    <w:uiPriority w:val="99"/>
    <w:rPr>
      <w:vertAlign w:val="superscript"/>
    </w:rPr>
  </w:style>
  <w:style w:type="table" w:styleId="35">
    <w:name w:val="Table Grid"/>
    <w:basedOn w:val="34"/>
    <w:qFormat/>
    <w:uiPriority w:val="0"/>
    <w:pPr/>
    <w:rPr>
      <w:rFonts w:ascii="Calibri" w:hAnsi="Calibri"/>
      <w:kern w:val="2"/>
      <w:sz w:val="21"/>
      <w:szCs w:val="22"/>
    </w:rPr>
    <w:tblPr>
      <w:tblStyle w:val="3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paragraph" w:customStyle="1" w:styleId="36">
    <w:name w:val="TOC 标题1"/>
    <w:basedOn w:val="2"/>
    <w:next w:val="1"/>
    <w:unhideWhenUsed/>
    <w:qFormat/>
    <w:uiPriority w:val="39"/>
    <w:pPr>
      <w:widowControl/>
      <w:spacing w:before="480" w:line="276" w:lineRule="auto"/>
      <w:jc w:val="left"/>
      <w:outlineLvl w:val="9"/>
    </w:pPr>
    <w:rPr>
      <w:rFonts w:ascii="Cambria" w:hAnsi="Cambria" w:eastAsia="宋体" w:cs="黑体"/>
      <w:color w:val="365F90"/>
      <w:kern w:val="0"/>
      <w:szCs w:val="28"/>
    </w:rPr>
  </w:style>
  <w:style w:type="paragraph" w:customStyle="1" w:styleId="37">
    <w:name w:val="列出段落1"/>
    <w:basedOn w:val="1"/>
    <w:qFormat/>
    <w:uiPriority w:val="34"/>
    <w:pPr>
      <w:ind w:firstLine="420"/>
    </w:pPr>
  </w:style>
  <w:style w:type="paragraph" w:customStyle="1" w:styleId="38">
    <w:name w:val="修订1"/>
    <w:hidden/>
    <w:semiHidden/>
    <w:qFormat/>
    <w:uiPriority w:val="99"/>
    <w:rPr>
      <w:rFonts w:ascii="Times New Roman" w:hAnsi="Times New Roman" w:eastAsia="方正仿宋_GBK" w:cs="Times New Roman"/>
      <w:snapToGrid w:val="0"/>
      <w:sz w:val="32"/>
      <w:lang w:val="en-US" w:eastAsia="zh-CN" w:bidi="ar-SA"/>
    </w:rPr>
  </w:style>
  <w:style w:type="paragraph" w:customStyle="1" w:styleId="39">
    <w:name w:val="TOC 标题2"/>
    <w:basedOn w:val="2"/>
    <w:next w:val="1"/>
    <w:unhideWhenUsed/>
    <w:qFormat/>
    <w:uiPriority w:val="39"/>
    <w:pPr>
      <w:widowControl/>
      <w:spacing w:before="240" w:line="259" w:lineRule="auto"/>
      <w:jc w:val="left"/>
      <w:outlineLvl w:val="9"/>
    </w:pPr>
    <w:rPr>
      <w:rFonts w:ascii="Cambria" w:hAnsi="Cambria" w:eastAsia="宋体" w:cs="黑体"/>
      <w:bCs w:val="0"/>
      <w:color w:val="365F90"/>
      <w:kern w:val="0"/>
      <w:sz w:val="32"/>
      <w:szCs w:val="32"/>
    </w:rPr>
  </w:style>
  <w:style w:type="character" w:customStyle="1" w:styleId="40">
    <w:name w:val="标题 1 字符"/>
    <w:link w:val="2"/>
    <w:qFormat/>
    <w:uiPriority w:val="0"/>
    <w:rPr>
      <w:rFonts w:eastAsia="黑体"/>
      <w:bCs/>
      <w:snapToGrid w:val="0"/>
      <w:kern w:val="44"/>
      <w:sz w:val="28"/>
      <w:szCs w:val="44"/>
    </w:rPr>
  </w:style>
  <w:style w:type="character" w:customStyle="1" w:styleId="41">
    <w:name w:val="标题 2 字符"/>
    <w:link w:val="3"/>
    <w:qFormat/>
    <w:uiPriority w:val="0"/>
    <w:rPr>
      <w:rFonts w:eastAsia="黑体"/>
      <w:bCs/>
      <w:snapToGrid w:val="0"/>
      <w:sz w:val="24"/>
      <w:szCs w:val="32"/>
    </w:rPr>
  </w:style>
  <w:style w:type="character" w:customStyle="1" w:styleId="42">
    <w:name w:val="标题 3 字符"/>
    <w:link w:val="4"/>
    <w:qFormat/>
    <w:uiPriority w:val="9"/>
    <w:rPr>
      <w:rFonts w:eastAsia="黑体"/>
      <w:bCs/>
      <w:snapToGrid w:val="0"/>
      <w:sz w:val="21"/>
      <w:szCs w:val="32"/>
    </w:rPr>
  </w:style>
  <w:style w:type="character" w:customStyle="1" w:styleId="43">
    <w:name w:val="标题 4 字符"/>
    <w:basedOn w:val="27"/>
    <w:link w:val="5"/>
    <w:uiPriority w:val="0"/>
    <w:rPr>
      <w:rFonts w:ascii="Cambria" w:hAnsi="Cambria"/>
      <w:b/>
      <w:bCs/>
      <w:kern w:val="2"/>
      <w:sz w:val="28"/>
      <w:szCs w:val="28"/>
    </w:rPr>
  </w:style>
  <w:style w:type="character" w:customStyle="1" w:styleId="44">
    <w:name w:val="标题 字符"/>
    <w:basedOn w:val="27"/>
    <w:link w:val="26"/>
    <w:uiPriority w:val="0"/>
    <w:rPr>
      <w:rFonts w:ascii="Cambria" w:hAnsi="Cambria" w:cs="Times New Roman"/>
      <w:b/>
      <w:bCs/>
      <w:snapToGrid w:val="0"/>
      <w:sz w:val="32"/>
      <w:szCs w:val="32"/>
    </w:rPr>
  </w:style>
  <w:style w:type="character" w:customStyle="1" w:styleId="45">
    <w:name w:val="文档结构图 字符"/>
    <w:basedOn w:val="27"/>
    <w:link w:val="9"/>
    <w:semiHidden/>
    <w:qFormat/>
    <w:uiPriority w:val="99"/>
    <w:rPr>
      <w:rFonts w:ascii="宋体"/>
      <w:snapToGrid w:val="0"/>
      <w:sz w:val="18"/>
      <w:szCs w:val="18"/>
    </w:rPr>
  </w:style>
  <w:style w:type="character" w:customStyle="1" w:styleId="46">
    <w:name w:val="页眉 字符"/>
    <w:basedOn w:val="27"/>
    <w:link w:val="18"/>
    <w:qFormat/>
    <w:uiPriority w:val="0"/>
    <w:rPr>
      <w:rFonts w:eastAsia="方正仿宋_GBK"/>
      <w:snapToGrid w:val="0"/>
      <w:sz w:val="18"/>
      <w:szCs w:val="18"/>
    </w:rPr>
  </w:style>
  <w:style w:type="character" w:customStyle="1" w:styleId="47">
    <w:name w:val="页脚 字符"/>
    <w:basedOn w:val="27"/>
    <w:link w:val="17"/>
    <w:uiPriority w:val="99"/>
    <w:rPr>
      <w:rFonts w:eastAsia="方正仿宋_GBK"/>
      <w:snapToGrid w:val="0"/>
      <w:sz w:val="18"/>
      <w:szCs w:val="18"/>
    </w:rPr>
  </w:style>
  <w:style w:type="character" w:customStyle="1" w:styleId="48">
    <w:name w:val="批注框文本 字符"/>
    <w:basedOn w:val="27"/>
    <w:link w:val="16"/>
    <w:semiHidden/>
    <w:qFormat/>
    <w:uiPriority w:val="99"/>
    <w:rPr>
      <w:rFonts w:eastAsia="方正仿宋_GBK"/>
      <w:snapToGrid w:val="0"/>
      <w:sz w:val="18"/>
      <w:szCs w:val="18"/>
    </w:rPr>
  </w:style>
  <w:style w:type="character" w:customStyle="1" w:styleId="49">
    <w:name w:val="尾注文本 字符"/>
    <w:basedOn w:val="27"/>
    <w:link w:val="15"/>
    <w:qFormat/>
    <w:uiPriority w:val="99"/>
    <w:rPr>
      <w:rFonts w:eastAsia="方正仿宋_GBK"/>
      <w:snapToGrid w:val="0"/>
      <w:sz w:val="32"/>
    </w:rPr>
  </w:style>
  <w:style w:type="character" w:customStyle="1" w:styleId="50">
    <w:name w:val="脚注文本 字符"/>
    <w:basedOn w:val="27"/>
    <w:link w:val="21"/>
    <w:semiHidden/>
    <w:qFormat/>
    <w:uiPriority w:val="99"/>
    <w:rPr>
      <w:rFonts w:eastAsia="方正仿宋_GBK"/>
      <w:snapToGrid w:val="0"/>
      <w:sz w:val="18"/>
      <w:szCs w:val="18"/>
    </w:rPr>
  </w:style>
  <w:style w:type="character" w:customStyle="1" w:styleId="51">
    <w:name w:val="日期 字符"/>
    <w:basedOn w:val="27"/>
    <w:link w:val="14"/>
    <w:semiHidden/>
    <w:qFormat/>
    <w:uiPriority w:val="99"/>
    <w:rPr>
      <w:rFonts w:eastAsia="方正仿宋_GBK"/>
      <w:snapToGrid w:val="0"/>
      <w:sz w:val="32"/>
    </w:rPr>
  </w:style>
  <w:style w:type="character" w:customStyle="1" w:styleId="52">
    <w:name w:val="批注文字 字符"/>
    <w:basedOn w:val="27"/>
    <w:link w:val="7"/>
    <w:semiHidden/>
    <w:qFormat/>
    <w:uiPriority w:val="99"/>
    <w:rPr>
      <w:rFonts w:eastAsia="方正仿宋_GBK"/>
      <w:snapToGrid w:val="0"/>
      <w:sz w:val="32"/>
    </w:rPr>
  </w:style>
  <w:style w:type="character" w:customStyle="1" w:styleId="53">
    <w:name w:val="批注主题 字符"/>
    <w:basedOn w:val="52"/>
    <w:link w:val="6"/>
    <w:semiHidden/>
    <w:qFormat/>
    <w:uiPriority w:val="99"/>
    <w:rPr>
      <w:rFonts w:eastAsia="方正仿宋_GBK"/>
      <w:b/>
      <w:bCs/>
      <w:snapToGrid w:val="0"/>
      <w:sz w:val="32"/>
    </w:rPr>
  </w:style>
  <w:style w:type="character" w:customStyle="1" w:styleId="54">
    <w:name w:val="正文文本 字符"/>
    <w:basedOn w:val="27"/>
    <w:link w:val="10"/>
    <w:qFormat/>
    <w:uiPriority w:val="1"/>
    <w:rPr>
      <w:rFonts w:ascii="宋体"/>
      <w:szCs w:val="21"/>
    </w:rPr>
  </w:style>
  <w:style w:type="table" w:customStyle="1" w:styleId="55">
    <w:name w:val="网格型1"/>
    <w:basedOn w:val="34"/>
    <w:qFormat/>
    <w:uiPriority w:val="39"/>
    <w:pPr/>
    <w:rPr>
      <w:rFonts w:ascii="Calibri" w:hAnsi="Calibri"/>
      <w:kern w:val="2"/>
      <w:sz w:val="21"/>
      <w:szCs w:val="22"/>
    </w:rPr>
    <w:tblPr>
      <w:tblStyle w:val="3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table" w:customStyle="1" w:styleId="56">
    <w:name w:val="网格型2"/>
    <w:basedOn w:val="34"/>
    <w:qFormat/>
    <w:uiPriority w:val="59"/>
    <w:pPr/>
    <w:rPr>
      <w:rFonts w:ascii="Calibri" w:hAnsi="Calibri"/>
      <w:kern w:val="2"/>
      <w:sz w:val="21"/>
      <w:szCs w:val="22"/>
    </w:rPr>
    <w:tblPr>
      <w:tblStyle w:val="3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table" w:customStyle="1" w:styleId="57">
    <w:name w:val="网格型3"/>
    <w:basedOn w:val="34"/>
    <w:qFormat/>
    <w:uiPriority w:val="39"/>
    <w:pPr/>
    <w:rPr>
      <w:rFonts w:ascii="Calibri" w:hAnsi="Calibri" w:cs="黑体"/>
      <w:kern w:val="2"/>
      <w:sz w:val="21"/>
      <w:szCs w:val="22"/>
    </w:rPr>
    <w:tblPr>
      <w:tblStyle w:val="3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6.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4.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16</Pages>
  <Words>2336</Words>
  <Characters>13317</Characters>
  <Lines>110</Lines>
  <Paragraphs>31</Paragraphs>
  <TotalTime>0</TotalTime>
  <ScaleCrop>false</ScaleCrop>
  <LinksUpToDate>false</LinksUpToDate>
  <CharactersWithSpaces>0</CharactersWithSpaces>
  <Application>WPS Office 专业版_9.1.0.4940_F1E327BC-269C-435d-A152-05C5408002CA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2016-12-02T02:45:00Z</dcterms:created>
  <dc:creator>user</dc:creator>
  <cp:lastModifiedBy>项平</cp:lastModifiedBy>
  <cp:lastPrinted>2018-01-19T03:04:00Z</cp:lastPrinted>
  <dcterms:modified xsi:type="dcterms:W3CDTF">2018-02-05T06:07:55Z</dcterms:modified>
  <dc:title>《纺织染整工业废水中锑污染物排放标准》编制说明</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