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E61" w:rsidRDefault="00C51E61" w:rsidP="00C51E61">
      <w:pPr>
        <w:autoSpaceDE w:val="0"/>
        <w:autoSpaceDN w:val="0"/>
        <w:adjustRightInd w:val="0"/>
        <w:snapToGrid w:val="0"/>
        <w:spacing w:line="590" w:lineRule="exact"/>
        <w:jc w:val="center"/>
        <w:rPr>
          <w:rFonts w:ascii="Times New Roman" w:eastAsia="方正小标宋_GBK" w:hAnsi="Times New Roman" w:cs="Times New Roman"/>
          <w:snapToGrid w:val="0"/>
          <w:kern w:val="0"/>
          <w:sz w:val="44"/>
          <w:szCs w:val="44"/>
        </w:rPr>
      </w:pPr>
    </w:p>
    <w:p w:rsidR="00C51E61" w:rsidRPr="00D17BA2" w:rsidRDefault="00C51E61" w:rsidP="00C51E61">
      <w:pPr>
        <w:autoSpaceDE w:val="0"/>
        <w:autoSpaceDN w:val="0"/>
        <w:adjustRightInd w:val="0"/>
        <w:snapToGrid w:val="0"/>
        <w:spacing w:line="590" w:lineRule="exact"/>
        <w:jc w:val="center"/>
        <w:rPr>
          <w:rFonts w:ascii="Times New Roman" w:eastAsia="方正小标宋_GBK" w:hAnsi="Times New Roman" w:cs="Times New Roman"/>
          <w:snapToGrid w:val="0"/>
          <w:kern w:val="0"/>
          <w:sz w:val="44"/>
          <w:szCs w:val="44"/>
        </w:rPr>
      </w:pPr>
      <w:r w:rsidRPr="00D17BA2">
        <w:rPr>
          <w:rFonts w:ascii="Times New Roman" w:eastAsia="方正小标宋_GBK" w:hAnsi="Times New Roman" w:cs="Times New Roman" w:hint="eastAsia"/>
          <w:snapToGrid w:val="0"/>
          <w:kern w:val="0"/>
          <w:sz w:val="44"/>
          <w:szCs w:val="44"/>
        </w:rPr>
        <w:t>关于推动环评提质增效和精准服务</w:t>
      </w:r>
      <w:r w:rsidRPr="00D17BA2">
        <w:rPr>
          <w:rFonts w:ascii="Times New Roman" w:eastAsia="方正小标宋_GBK" w:hAnsi="Times New Roman" w:cs="Times New Roman"/>
          <w:snapToGrid w:val="0"/>
          <w:kern w:val="0"/>
          <w:sz w:val="44"/>
          <w:szCs w:val="44"/>
        </w:rPr>
        <w:t xml:space="preserve"> </w:t>
      </w:r>
      <w:r w:rsidRPr="00D17BA2">
        <w:rPr>
          <w:rFonts w:ascii="Times New Roman" w:eastAsia="方正小标宋_GBK" w:hAnsi="Times New Roman" w:cs="Times New Roman" w:hint="eastAsia"/>
          <w:snapToGrid w:val="0"/>
          <w:kern w:val="0"/>
          <w:sz w:val="44"/>
          <w:szCs w:val="44"/>
        </w:rPr>
        <w:t>支持经济持续向新向优向好发展的若干措施</w:t>
      </w:r>
    </w:p>
    <w:p w:rsidR="00C51E61" w:rsidRPr="00311C63" w:rsidRDefault="00C51E61" w:rsidP="00C51E61">
      <w:pPr>
        <w:autoSpaceDE w:val="0"/>
        <w:autoSpaceDN w:val="0"/>
        <w:adjustRightInd w:val="0"/>
        <w:snapToGrid w:val="0"/>
        <w:spacing w:line="590" w:lineRule="exact"/>
        <w:jc w:val="center"/>
        <w:rPr>
          <w:rFonts w:ascii="Times New Roman" w:eastAsia="方正楷体_GBK" w:hAnsi="Times New Roman" w:cs="Times New Roman"/>
          <w:snapToGrid w:val="0"/>
          <w:kern w:val="0"/>
          <w:sz w:val="32"/>
          <w:szCs w:val="32"/>
        </w:rPr>
      </w:pPr>
      <w:r>
        <w:rPr>
          <w:rFonts w:ascii="Times New Roman" w:eastAsia="方正楷体_GBK" w:hAnsi="Times New Roman" w:cs="Times New Roman" w:hint="eastAsia"/>
          <w:snapToGrid w:val="0"/>
          <w:kern w:val="0"/>
          <w:sz w:val="32"/>
          <w:szCs w:val="32"/>
        </w:rPr>
        <w:t>（征求意见</w:t>
      </w:r>
      <w:r w:rsidRPr="00311C63">
        <w:rPr>
          <w:rFonts w:ascii="Times New Roman" w:eastAsia="方正楷体_GBK" w:hAnsi="Times New Roman" w:cs="Times New Roman" w:hint="eastAsia"/>
          <w:snapToGrid w:val="0"/>
          <w:kern w:val="0"/>
          <w:sz w:val="32"/>
          <w:szCs w:val="32"/>
        </w:rPr>
        <w:t>稿）</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楷体_GBK" w:hAnsi="Times New Roman" w:cs="Times New Roman"/>
          <w:snapToGrid w:val="0"/>
          <w:kern w:val="0"/>
          <w:sz w:val="32"/>
          <w:szCs w:val="32"/>
        </w:rPr>
      </w:pP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仿宋_GBK" w:hAnsi="Times New Roman" w:cs="Times New Roman" w:hint="eastAsia"/>
          <w:snapToGrid w:val="0"/>
          <w:kern w:val="0"/>
          <w:sz w:val="32"/>
          <w:szCs w:val="32"/>
        </w:rPr>
        <w:t>为贯彻落实《关于紧抓当前提质增效</w:t>
      </w:r>
      <w:r w:rsidRPr="00D17BA2">
        <w:rPr>
          <w:rFonts w:ascii="Times New Roman" w:eastAsia="方正仿宋_GBK" w:hAnsi="Times New Roman" w:cs="Times New Roman"/>
          <w:snapToGrid w:val="0"/>
          <w:kern w:val="0"/>
          <w:sz w:val="32"/>
          <w:szCs w:val="32"/>
        </w:rPr>
        <w:t xml:space="preserve"> </w:t>
      </w:r>
      <w:r w:rsidRPr="00D17BA2">
        <w:rPr>
          <w:rFonts w:ascii="Times New Roman" w:eastAsia="方正仿宋_GBK" w:hAnsi="Times New Roman" w:cs="Times New Roman" w:hint="eastAsia"/>
          <w:snapToGrid w:val="0"/>
          <w:kern w:val="0"/>
          <w:sz w:val="32"/>
          <w:szCs w:val="32"/>
        </w:rPr>
        <w:t>推动经济持续向新向优向好发展的若干政策措施》（苏政办发〔</w:t>
      </w:r>
      <w:r w:rsidRPr="00D17BA2">
        <w:rPr>
          <w:rFonts w:ascii="Times New Roman" w:eastAsia="方正仿宋_GBK" w:hAnsi="Times New Roman" w:cs="Times New Roman"/>
          <w:snapToGrid w:val="0"/>
          <w:kern w:val="0"/>
          <w:sz w:val="32"/>
          <w:szCs w:val="32"/>
        </w:rPr>
        <w:t>2026</w:t>
      </w:r>
      <w:r w:rsidRPr="00D17BA2">
        <w:rPr>
          <w:rFonts w:ascii="Times New Roman" w:eastAsia="方正仿宋_GBK" w:hAnsi="Times New Roman" w:cs="Times New Roman" w:hint="eastAsia"/>
          <w:snapToGrid w:val="0"/>
          <w:kern w:val="0"/>
          <w:sz w:val="32"/>
          <w:szCs w:val="32"/>
        </w:rPr>
        <w:t>〕</w:t>
      </w:r>
      <w:r w:rsidRPr="00D17BA2">
        <w:rPr>
          <w:rFonts w:ascii="Times New Roman" w:eastAsia="方正仿宋_GBK" w:hAnsi="Times New Roman" w:cs="Times New Roman"/>
          <w:snapToGrid w:val="0"/>
          <w:kern w:val="0"/>
          <w:sz w:val="32"/>
          <w:szCs w:val="32"/>
        </w:rPr>
        <w:t>38</w:t>
      </w:r>
      <w:r w:rsidRPr="00D17BA2">
        <w:rPr>
          <w:rFonts w:ascii="Times New Roman" w:eastAsia="方正仿宋_GBK" w:hAnsi="Times New Roman" w:cs="Times New Roman" w:hint="eastAsia"/>
          <w:snapToGrid w:val="0"/>
          <w:kern w:val="0"/>
          <w:sz w:val="32"/>
          <w:szCs w:val="32"/>
        </w:rPr>
        <w:t>号），支持经济持续向新向优向好发展，现就推动环评提质增效、精准服务制定如下措施。</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t>一、拓展告知承诺制范围。</w:t>
      </w:r>
      <w:r w:rsidRPr="00D17BA2">
        <w:rPr>
          <w:rFonts w:ascii="Times New Roman" w:eastAsia="方正仿宋_GBK" w:hAnsi="Times New Roman" w:cs="Times New Roman" w:hint="eastAsia"/>
          <w:snapToGrid w:val="0"/>
          <w:kern w:val="0"/>
          <w:sz w:val="32"/>
          <w:szCs w:val="32"/>
        </w:rPr>
        <w:t>除</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两高</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化工、海洋工程、涉及重点行业重点重金属排放以外，对符合下列情形之一的建设项目，可实施告知承诺制审批，审批决定依法公告：符合生态环境分区管控及规划环评要求，不新增污染物排放、不新增用地、应编制生态环境影响报告表的改扩建项目；国家级生态工业园区内不新增污染物排放、应编制生态环境影响报告表的战略性新兴产业改扩建项目；大气环境绩效分级</w:t>
      </w:r>
      <w:r w:rsidRPr="00D17BA2">
        <w:rPr>
          <w:rFonts w:ascii="Times New Roman" w:eastAsia="方正仿宋_GBK" w:hAnsi="Times New Roman" w:cs="Times New Roman"/>
          <w:snapToGrid w:val="0"/>
          <w:kern w:val="0"/>
          <w:sz w:val="32"/>
          <w:szCs w:val="32"/>
        </w:rPr>
        <w:t>A+</w:t>
      </w:r>
      <w:r w:rsidRPr="00D17BA2">
        <w:rPr>
          <w:rFonts w:ascii="Times New Roman" w:eastAsia="方正仿宋_GBK" w:hAnsi="Times New Roman" w:cs="Times New Roman" w:hint="eastAsia"/>
          <w:snapToGrid w:val="0"/>
          <w:kern w:val="0"/>
          <w:sz w:val="32"/>
          <w:szCs w:val="32"/>
        </w:rPr>
        <w:t>级企业不新增污染物排放，应编制生态环境影响报告表的改建项目。环保信用等级为黑色、红色企业不实施环评告知承诺制审批。地方已制定配套政策和管理措施的，可继续遵照执行。</w:t>
      </w:r>
      <w:bookmarkStart w:id="0" w:name="_GoBack"/>
      <w:bookmarkEnd w:id="0"/>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仿宋_GBK" w:hAnsi="Times New Roman" w:cs="Times New Roman" w:hint="eastAsia"/>
          <w:snapToGrid w:val="0"/>
          <w:kern w:val="0"/>
          <w:sz w:val="32"/>
          <w:szCs w:val="32"/>
        </w:rPr>
        <w:t>各级生态环境部门应加强对告知承诺制审批建设项目事中事后监管。环评审批部门在作出审批决定后，在</w:t>
      </w:r>
      <w:r w:rsidRPr="00D17BA2">
        <w:rPr>
          <w:rFonts w:ascii="Times New Roman" w:eastAsia="方正仿宋_GBK" w:hAnsi="Times New Roman" w:cs="Times New Roman"/>
          <w:snapToGrid w:val="0"/>
          <w:kern w:val="0"/>
          <w:sz w:val="32"/>
          <w:szCs w:val="32"/>
        </w:rPr>
        <w:t>3</w:t>
      </w:r>
      <w:r w:rsidRPr="00D17BA2">
        <w:rPr>
          <w:rFonts w:ascii="Times New Roman" w:eastAsia="方正仿宋_GBK" w:hAnsi="Times New Roman" w:cs="Times New Roman" w:hint="eastAsia"/>
          <w:snapToGrid w:val="0"/>
          <w:kern w:val="0"/>
          <w:sz w:val="32"/>
          <w:szCs w:val="32"/>
        </w:rPr>
        <w:t>个月内通过技</w:t>
      </w:r>
      <w:r w:rsidRPr="00D17BA2">
        <w:rPr>
          <w:rFonts w:ascii="Times New Roman" w:eastAsia="方正仿宋_GBK" w:hAnsi="Times New Roman" w:cs="Times New Roman" w:hint="eastAsia"/>
          <w:snapToGrid w:val="0"/>
          <w:kern w:val="0"/>
          <w:sz w:val="32"/>
          <w:szCs w:val="32"/>
        </w:rPr>
        <w:lastRenderedPageBreak/>
        <w:t>术复核等方式加强环评文件编制质量监督检查；及时将项目环评文件、报批承诺书等材料抄送生态环境执法部门，生态环境执法部门将项目纳入</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双随机、一公开</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检查范围。对检查发现存在承诺明显不实或弄虚作假等情形的，应当督促整改，并可依法撤销行政审批决定。</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t>二、推行并联审批联合会办。</w:t>
      </w:r>
      <w:r w:rsidRPr="00D17BA2">
        <w:rPr>
          <w:rFonts w:ascii="Times New Roman" w:eastAsia="方正仿宋_GBK" w:hAnsi="Times New Roman" w:cs="Times New Roman" w:hint="eastAsia"/>
          <w:snapToGrid w:val="0"/>
          <w:kern w:val="0"/>
          <w:sz w:val="32"/>
          <w:szCs w:val="32"/>
        </w:rPr>
        <w:t>除法律法规规定外，相关主管部门意见不作为项目环评审批的前置条件，与环评审批同步办理，在项目开工前落实到位。对省级以上重大项目，在县级及以上人民政府承诺兑现总量来源、区域环境质量改善的前提下，可先审批环评，在项目建成申请排污许可证前落实到位。对新型储能、抽水蓄能、风电、光伏、煤电、垃圾焚烧发电、生物质发电等能源项目以及铁路、轨道交通等基础设施类项目，配套输变电工程可与主体工程环评文件合并编制、一并审批。</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t>三、简化环评文件编制内容。</w:t>
      </w:r>
      <w:r w:rsidRPr="00D17BA2">
        <w:rPr>
          <w:rFonts w:ascii="Times New Roman" w:eastAsia="方正仿宋_GBK" w:hAnsi="Times New Roman" w:cs="Times New Roman" w:hint="eastAsia"/>
          <w:snapToGrid w:val="0"/>
          <w:kern w:val="0"/>
          <w:sz w:val="32"/>
          <w:szCs w:val="32"/>
        </w:rPr>
        <w:t>进一步深化项目环评与规划环评联动，对符合规划环评结论及审查意见，且规划环评监测数据满足时效性要求的建设项目，可直接引用规划环评中区域生态环境现状调查数据、环境影响预测结论，简化项目环评文件中政策规划符合性、选址环境合理性、基础设施依托可行性以及环境影响经济损益分析等内容。同一园区内同类型、污染治理工艺成熟的建设项目，可以</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打捆</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编制环评文件。深化区域评估成果应用，推动区域环境质量统一监测评价和数据共享，提高环评编制效率。</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lastRenderedPageBreak/>
        <w:t>四、创新生态环境要素保障</w:t>
      </w:r>
      <w:r w:rsidRPr="00D17BA2">
        <w:rPr>
          <w:rFonts w:ascii="Times New Roman" w:eastAsia="方正仿宋_GBK" w:hAnsi="Times New Roman" w:cs="Times New Roman" w:hint="eastAsia"/>
          <w:snapToGrid w:val="0"/>
          <w:kern w:val="0"/>
          <w:sz w:val="32"/>
          <w:szCs w:val="32"/>
        </w:rPr>
        <w:t>。根据区域产业发展需求，推动地方规划建设工业污水处理厂、集中供热、清洁能源供应等环境基础设施；推进生态安全缓冲区、</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生态岛</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试验区建设和减排项目实施，扩增生态环境容量，为项目落地提供支撑。产业园区应当限期完成规划环评及跟踪评价，明确生态环境准入清单，为入园建设项目提供准入依据。指导建设单位加强项目前期论证和手续准备，提升项目成熟度和报批质量。</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仿宋_GBK" w:hAnsi="Times New Roman" w:cs="Times New Roman" w:hint="eastAsia"/>
          <w:snapToGrid w:val="0"/>
          <w:kern w:val="0"/>
          <w:sz w:val="32"/>
          <w:szCs w:val="32"/>
        </w:rPr>
        <w:t>完善省、市、县、园区四级总量储备库管理，优化排污总量指标调配。在本级储备库不足的情况下，对上年度环境质量达到考核目标且完成约束性总量减排任务的，可申请上一级储备库协调解决或者申请跨地区购买。推广微量小额排污总量指标统筹供给，对二氧化硫、氮氧化物、颗粒物、化学需氧量、挥发性有机污染物等污染物单项新增年排放量小于</w:t>
      </w:r>
      <w:r w:rsidRPr="00D17BA2">
        <w:rPr>
          <w:rFonts w:ascii="Times New Roman" w:eastAsia="方正仿宋_GBK" w:hAnsi="Times New Roman" w:cs="Times New Roman"/>
          <w:snapToGrid w:val="0"/>
          <w:kern w:val="0"/>
          <w:sz w:val="32"/>
          <w:szCs w:val="32"/>
        </w:rPr>
        <w:t>0.1</w:t>
      </w:r>
      <w:r w:rsidRPr="00D17BA2">
        <w:rPr>
          <w:rFonts w:ascii="Times New Roman" w:eastAsia="方正仿宋_GBK" w:hAnsi="Times New Roman" w:cs="Times New Roman" w:hint="eastAsia"/>
          <w:snapToGrid w:val="0"/>
          <w:kern w:val="0"/>
          <w:sz w:val="32"/>
          <w:szCs w:val="32"/>
        </w:rPr>
        <w:t>吨，氨氮、总氮、总磷单项新增年排放量小于</w:t>
      </w:r>
      <w:r w:rsidRPr="00D17BA2">
        <w:rPr>
          <w:rFonts w:ascii="Times New Roman" w:eastAsia="方正仿宋_GBK" w:hAnsi="Times New Roman" w:cs="Times New Roman"/>
          <w:snapToGrid w:val="0"/>
          <w:kern w:val="0"/>
          <w:sz w:val="32"/>
          <w:szCs w:val="32"/>
        </w:rPr>
        <w:t>0.01</w:t>
      </w:r>
      <w:r w:rsidRPr="00D17BA2">
        <w:rPr>
          <w:rFonts w:ascii="Times New Roman" w:eastAsia="方正仿宋_GBK" w:hAnsi="Times New Roman" w:cs="Times New Roman" w:hint="eastAsia"/>
          <w:snapToGrid w:val="0"/>
          <w:kern w:val="0"/>
          <w:sz w:val="32"/>
          <w:szCs w:val="32"/>
        </w:rPr>
        <w:t>吨的建设项目，在地方具备总量指标储备的基础上，企业免于提交总量来源说明，由地方生态环境部门统筹总量替代指标来源，并纳入管理台账。鼓励环境质量持续改善、污染物排放强度持续下降的地区，可按规定推行排污总量指标跨类别使用，明确禁止的跨类别使用类型除外。</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t>五、加强环评编制单位监管。</w:t>
      </w:r>
      <w:r w:rsidRPr="00D17BA2">
        <w:rPr>
          <w:rFonts w:ascii="Times New Roman" w:eastAsia="方正仿宋_GBK" w:hAnsi="Times New Roman" w:cs="Times New Roman" w:hint="eastAsia"/>
          <w:snapToGrid w:val="0"/>
          <w:kern w:val="0"/>
          <w:sz w:val="32"/>
          <w:szCs w:val="32"/>
        </w:rPr>
        <w:t>对在我省开展环评业务的环评编制单位实施备案管理，向社会公开其人员、业绩及信用记分情况，引导建设单位自主择优选择技术强、信誉好、服务快的环评</w:t>
      </w:r>
      <w:r w:rsidRPr="00D17BA2">
        <w:rPr>
          <w:rFonts w:ascii="Times New Roman" w:eastAsia="方正仿宋_GBK" w:hAnsi="Times New Roman" w:cs="Times New Roman" w:hint="eastAsia"/>
          <w:snapToGrid w:val="0"/>
          <w:kern w:val="0"/>
          <w:sz w:val="32"/>
          <w:szCs w:val="32"/>
        </w:rPr>
        <w:lastRenderedPageBreak/>
        <w:t>编制单位。建设单位具备生态环境影响评价技术能力的，可以自行编制生态环境影响评价文件。加强对受理环评报告的质量监管，技术评估和审查发现环评文件存在质量问题的，同步按规定实施失信记分。强化环评编制单位日常监督管理，完善环评问题线索移交和立案查处机制，依法依规查处到位。加强环评编制单位信用管理，对信用良好的环评编制单位和环评编制人员，减少复核和抽查比例、频次，做到</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无事不扰</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；对存在失信行为的，加大抽查复核比例；对纳入环评失信</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黑名单</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的，依法禁止从业。</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t>六、提升技术评估工作质效。</w:t>
      </w:r>
      <w:r w:rsidRPr="00D17BA2">
        <w:rPr>
          <w:rFonts w:ascii="Times New Roman" w:eastAsia="方正仿宋_GBK" w:hAnsi="Times New Roman" w:cs="Times New Roman" w:hint="eastAsia"/>
          <w:snapToGrid w:val="0"/>
          <w:kern w:val="0"/>
          <w:sz w:val="32"/>
          <w:szCs w:val="32"/>
        </w:rPr>
        <w:t>实施环评评估分类管理，对环境影响小、生态环境风险可控的项目，采用线上评估、</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打捆</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评估及人工智能辅助等方式，提高技术评估效率。技术评估原则上一次性反馈修改要求，评估时限原则上不超过</w:t>
      </w:r>
      <w:r w:rsidRPr="00D17BA2">
        <w:rPr>
          <w:rFonts w:ascii="Times New Roman" w:eastAsia="方正黑体_GBK" w:hAnsi="Times New Roman" w:cs="Times New Roman"/>
          <w:snapToGrid w:val="0"/>
          <w:kern w:val="0"/>
          <w:sz w:val="32"/>
          <w:szCs w:val="32"/>
        </w:rPr>
        <w:t>24</w:t>
      </w:r>
      <w:r w:rsidRPr="00D17BA2">
        <w:rPr>
          <w:rFonts w:ascii="Times New Roman" w:eastAsia="方正仿宋_GBK" w:hAnsi="Times New Roman" w:cs="Times New Roman" w:hint="eastAsia"/>
          <w:snapToGrid w:val="0"/>
          <w:kern w:val="0"/>
          <w:sz w:val="32"/>
          <w:szCs w:val="32"/>
        </w:rPr>
        <w:t>个工作日。加强技术评估单位能力建设，鼓励配备生态环境专业高级工程师及以上职称或环境影响评价工程师技术评估人员，并建立全过程质量控制制度，提升技术评估支撑能力。</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黑体_GBK" w:hAnsi="Times New Roman" w:cs="Times New Roman"/>
          <w:snapToGrid w:val="0"/>
          <w:kern w:val="0"/>
          <w:sz w:val="32"/>
          <w:szCs w:val="32"/>
          <w:u w:val="single"/>
        </w:rPr>
      </w:pPr>
      <w:r w:rsidRPr="00D17BA2">
        <w:rPr>
          <w:rFonts w:ascii="Times New Roman" w:eastAsia="方正黑体_GBK" w:hAnsi="Times New Roman" w:cs="Times New Roman" w:hint="eastAsia"/>
          <w:snapToGrid w:val="0"/>
          <w:kern w:val="0"/>
          <w:sz w:val="32"/>
          <w:szCs w:val="32"/>
        </w:rPr>
        <w:t>七、提高项目环评审批效率。</w:t>
      </w:r>
      <w:r w:rsidRPr="00D17BA2">
        <w:rPr>
          <w:rFonts w:ascii="Times New Roman" w:eastAsia="方正仿宋_GBK" w:hAnsi="Times New Roman" w:cs="Times New Roman" w:hint="eastAsia"/>
          <w:snapToGrid w:val="0"/>
          <w:kern w:val="0"/>
          <w:sz w:val="32"/>
          <w:szCs w:val="32"/>
        </w:rPr>
        <w:t>生态环境审批部门提前了解生态环境影响报告书项目情况，建立审批服务卡，协调解决环评编制困难问题，加快环评报批进度。同步推进项目环评文件受理公示、技术评估和内部审查，各会办部门须在规定时间内一次性反馈意见。生态环境影响报告书项目</w:t>
      </w:r>
      <w:r w:rsidRPr="00D17BA2">
        <w:rPr>
          <w:rFonts w:ascii="Times New Roman" w:eastAsia="方正仿宋_GBK" w:hAnsi="Times New Roman" w:cs="Times New Roman"/>
          <w:snapToGrid w:val="0"/>
          <w:kern w:val="0"/>
          <w:sz w:val="32"/>
          <w:szCs w:val="32"/>
        </w:rPr>
        <w:t>30</w:t>
      </w:r>
      <w:r w:rsidRPr="00D17BA2">
        <w:rPr>
          <w:rFonts w:ascii="Times New Roman" w:eastAsia="方正仿宋_GBK" w:hAnsi="Times New Roman" w:cs="Times New Roman" w:hint="eastAsia"/>
          <w:snapToGrid w:val="0"/>
          <w:kern w:val="0"/>
          <w:sz w:val="32"/>
          <w:szCs w:val="32"/>
        </w:rPr>
        <w:t>个工作日内、生态环境影响报告表项目</w:t>
      </w:r>
      <w:r w:rsidRPr="00D17BA2">
        <w:rPr>
          <w:rFonts w:ascii="Times New Roman" w:eastAsia="方正仿宋_GBK" w:hAnsi="Times New Roman" w:cs="Times New Roman"/>
          <w:snapToGrid w:val="0"/>
          <w:kern w:val="0"/>
          <w:sz w:val="32"/>
          <w:szCs w:val="32"/>
        </w:rPr>
        <w:t>15</w:t>
      </w:r>
      <w:r w:rsidRPr="00D17BA2">
        <w:rPr>
          <w:rFonts w:ascii="Times New Roman" w:eastAsia="方正仿宋_GBK" w:hAnsi="Times New Roman" w:cs="Times New Roman" w:hint="eastAsia"/>
          <w:snapToGrid w:val="0"/>
          <w:kern w:val="0"/>
          <w:sz w:val="32"/>
          <w:szCs w:val="32"/>
        </w:rPr>
        <w:t>个工作日内完成审批（上述时限包含受理公示、拟</w:t>
      </w:r>
      <w:r w:rsidRPr="00D17BA2">
        <w:rPr>
          <w:rFonts w:ascii="Times New Roman" w:eastAsia="方正仿宋_GBK" w:hAnsi="Times New Roman" w:cs="Times New Roman" w:hint="eastAsia"/>
          <w:snapToGrid w:val="0"/>
          <w:kern w:val="0"/>
          <w:sz w:val="32"/>
          <w:szCs w:val="32"/>
        </w:rPr>
        <w:lastRenderedPageBreak/>
        <w:t>审批公示时间，不含听证、专家评审、技术评估时间）。不属于</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两高</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行业、不涉及重金属排放、不涉及危险化学品的建设项目，生态环境影响报告书、报告表审批时限可进一步压缩至</w:t>
      </w:r>
      <w:r w:rsidRPr="00D17BA2">
        <w:rPr>
          <w:rFonts w:ascii="Times New Roman" w:eastAsia="方正仿宋_GBK" w:hAnsi="Times New Roman" w:cs="Times New Roman"/>
          <w:snapToGrid w:val="0"/>
          <w:kern w:val="0"/>
          <w:sz w:val="32"/>
          <w:szCs w:val="32"/>
        </w:rPr>
        <w:t>24</w:t>
      </w:r>
      <w:r w:rsidRPr="00D17BA2">
        <w:rPr>
          <w:rFonts w:ascii="Times New Roman" w:eastAsia="方正仿宋_GBK" w:hAnsi="Times New Roman" w:cs="Times New Roman" w:hint="eastAsia"/>
          <w:snapToGrid w:val="0"/>
          <w:kern w:val="0"/>
          <w:sz w:val="32"/>
          <w:szCs w:val="32"/>
        </w:rPr>
        <w:t>个工作日、</w:t>
      </w:r>
      <w:r w:rsidRPr="00D17BA2">
        <w:rPr>
          <w:rFonts w:ascii="Times New Roman" w:eastAsia="方正仿宋_GBK" w:hAnsi="Times New Roman" w:cs="Times New Roman"/>
          <w:snapToGrid w:val="0"/>
          <w:kern w:val="0"/>
          <w:sz w:val="32"/>
          <w:szCs w:val="32"/>
        </w:rPr>
        <w:t>12</w:t>
      </w:r>
      <w:r w:rsidRPr="00D17BA2">
        <w:rPr>
          <w:rFonts w:ascii="Times New Roman" w:eastAsia="方正仿宋_GBK" w:hAnsi="Times New Roman" w:cs="Times New Roman" w:hint="eastAsia"/>
          <w:snapToGrid w:val="0"/>
          <w:kern w:val="0"/>
          <w:sz w:val="32"/>
          <w:szCs w:val="32"/>
        </w:rPr>
        <w:t>个工作日。情况特别复杂的项目，生态环境影响报告书、报告表项目审批时限分别不超过</w:t>
      </w:r>
      <w:r w:rsidRPr="00D17BA2">
        <w:rPr>
          <w:rFonts w:ascii="Times New Roman" w:eastAsia="方正仿宋_GBK" w:hAnsi="Times New Roman" w:cs="Times New Roman"/>
          <w:snapToGrid w:val="0"/>
          <w:kern w:val="0"/>
          <w:sz w:val="32"/>
          <w:szCs w:val="32"/>
        </w:rPr>
        <w:t>60</w:t>
      </w:r>
      <w:r w:rsidRPr="00D17BA2">
        <w:rPr>
          <w:rFonts w:ascii="Times New Roman" w:eastAsia="方正仿宋_GBK" w:hAnsi="Times New Roman" w:cs="Times New Roman" w:hint="eastAsia"/>
          <w:snapToGrid w:val="0"/>
          <w:kern w:val="0"/>
          <w:sz w:val="32"/>
          <w:szCs w:val="32"/>
        </w:rPr>
        <w:t>日、</w:t>
      </w:r>
      <w:r w:rsidRPr="00D17BA2">
        <w:rPr>
          <w:rFonts w:ascii="Times New Roman" w:eastAsia="方正仿宋_GBK" w:hAnsi="Times New Roman" w:cs="Times New Roman"/>
          <w:snapToGrid w:val="0"/>
          <w:kern w:val="0"/>
          <w:sz w:val="32"/>
          <w:szCs w:val="32"/>
        </w:rPr>
        <w:t>30</w:t>
      </w:r>
      <w:r w:rsidRPr="00D17BA2">
        <w:rPr>
          <w:rFonts w:ascii="Times New Roman" w:eastAsia="方正仿宋_GBK" w:hAnsi="Times New Roman" w:cs="Times New Roman" w:hint="eastAsia"/>
          <w:snapToGrid w:val="0"/>
          <w:kern w:val="0"/>
          <w:sz w:val="32"/>
          <w:szCs w:val="32"/>
        </w:rPr>
        <w:t>日，并将相关情况书面告知建设单位。</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t>八、实施精准服务纾困解难。</w:t>
      </w:r>
      <w:r w:rsidRPr="00D17BA2">
        <w:rPr>
          <w:rFonts w:ascii="Times New Roman" w:eastAsia="方正仿宋_GBK" w:hAnsi="Times New Roman" w:cs="Times New Roman" w:hint="eastAsia"/>
          <w:snapToGrid w:val="0"/>
          <w:kern w:val="0"/>
          <w:sz w:val="32"/>
          <w:szCs w:val="32"/>
        </w:rPr>
        <w:t>合理统筹调配环评审批力量，确保审批岗位人员充足、专业匹配。建立企业诉求分级分类办理机制，对重大项目、中小微企业及重点行业企业实行定向帮扶。组建专班保障省重大项目审批，落实审批专员制度，对市级及以上重大项目，建立</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一项一档</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台账，专人靠前服务，点对点破解环评编制堵点，加快项目报批。聚焦中小微企业及重点行业企业，常态化开展环保接待日、座谈走访等活动，通过各类政务渠道推送惠企政策，实现</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政策找企业</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t>九、推进人工智能辅助应用。</w:t>
      </w:r>
      <w:r w:rsidRPr="00D17BA2">
        <w:rPr>
          <w:rFonts w:ascii="Times New Roman" w:eastAsia="方正仿宋_GBK" w:hAnsi="Times New Roman" w:cs="Times New Roman" w:hint="eastAsia"/>
          <w:snapToGrid w:val="0"/>
          <w:kern w:val="0"/>
          <w:sz w:val="32"/>
          <w:szCs w:val="32"/>
        </w:rPr>
        <w:t>完善生态环境分区管控综合服务系统功能，加强与发改、工信、自然资源、招商等部门的信息共享，强化在项目招引、选址、立项审批等环节的智能辅助应用，为企业提供选址智能研判和准入评估服务，发挥平台</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预研判</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作用。开展人工智能技术在环评领域应用，搭建环评</w:t>
      </w:r>
      <w:r w:rsidRPr="00D17BA2">
        <w:rPr>
          <w:rFonts w:ascii="Times New Roman" w:eastAsia="方正仿宋_GBK" w:hAnsi="Times New Roman" w:cs="Times New Roman"/>
          <w:snapToGrid w:val="0"/>
          <w:kern w:val="0"/>
          <w:sz w:val="32"/>
          <w:szCs w:val="32"/>
        </w:rPr>
        <w:t>AI</w:t>
      </w:r>
      <w:r w:rsidRPr="00D17BA2">
        <w:rPr>
          <w:rFonts w:ascii="Times New Roman" w:eastAsia="方正仿宋_GBK" w:hAnsi="Times New Roman" w:cs="Times New Roman" w:hint="eastAsia"/>
          <w:snapToGrid w:val="0"/>
          <w:kern w:val="0"/>
          <w:sz w:val="32"/>
          <w:szCs w:val="32"/>
        </w:rPr>
        <w:t>智能服务平台，探索生态环境影响报告表标准化、表格化编制和人工智能辅助校核，提高环评文本编制质效。</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黑体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lastRenderedPageBreak/>
        <w:t>十、深化环评分类管理改革。</w:t>
      </w:r>
      <w:r w:rsidRPr="00D17BA2">
        <w:rPr>
          <w:rFonts w:ascii="Times New Roman" w:eastAsia="方正仿宋_GBK" w:hAnsi="Times New Roman" w:cs="Times New Roman" w:hint="eastAsia"/>
          <w:snapToGrid w:val="0"/>
          <w:kern w:val="0"/>
          <w:sz w:val="32"/>
          <w:szCs w:val="32"/>
        </w:rPr>
        <w:t>推进项目环评与生态环境分区管控和排污许可深度融合，推动重点单元纳入全链条改革试点。省级统筹制定行业环境准入指引，将指引要求嵌入江苏省生态环境分区管控综合服务平台，对试点区域符合行业环境准入指引、应编制生态环境影响报告表的建设项目，按照国家有关规定优化环评管理方式。</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仿宋_GBK" w:hAnsi="Times New Roman" w:cs="Times New Roman" w:hint="eastAsia"/>
          <w:snapToGrid w:val="0"/>
          <w:kern w:val="0"/>
          <w:sz w:val="32"/>
          <w:szCs w:val="32"/>
        </w:rPr>
        <w:t>各设区市生态环境部门应深化落实《省生态环境厅关于进一步优化环评与排污许可管理支撑经济高质量发展的若干措施》（苏环发〔</w:t>
      </w:r>
      <w:r w:rsidRPr="00D17BA2">
        <w:rPr>
          <w:rFonts w:ascii="Times New Roman" w:eastAsia="方正仿宋_GBK" w:hAnsi="Times New Roman" w:cs="Times New Roman"/>
          <w:snapToGrid w:val="0"/>
          <w:kern w:val="0"/>
          <w:sz w:val="32"/>
          <w:szCs w:val="32"/>
        </w:rPr>
        <w:t>2024</w:t>
      </w:r>
      <w:r w:rsidRPr="00D17BA2">
        <w:rPr>
          <w:rFonts w:ascii="Times New Roman" w:eastAsia="方正仿宋_GBK" w:hAnsi="Times New Roman" w:cs="Times New Roman" w:hint="eastAsia"/>
          <w:snapToGrid w:val="0"/>
          <w:kern w:val="0"/>
          <w:sz w:val="32"/>
          <w:szCs w:val="32"/>
        </w:rPr>
        <w:t>〕</w:t>
      </w:r>
      <w:r w:rsidRPr="00D17BA2">
        <w:rPr>
          <w:rFonts w:ascii="Times New Roman" w:eastAsia="方正仿宋_GBK" w:hAnsi="Times New Roman" w:cs="Times New Roman"/>
          <w:snapToGrid w:val="0"/>
          <w:kern w:val="0"/>
          <w:sz w:val="32"/>
          <w:szCs w:val="32"/>
        </w:rPr>
        <w:t>13</w:t>
      </w:r>
      <w:r w:rsidRPr="00D17BA2">
        <w:rPr>
          <w:rFonts w:ascii="Times New Roman" w:eastAsia="方正仿宋_GBK" w:hAnsi="Times New Roman" w:cs="Times New Roman" w:hint="eastAsia"/>
          <w:snapToGrid w:val="0"/>
          <w:kern w:val="0"/>
          <w:sz w:val="32"/>
          <w:szCs w:val="32"/>
        </w:rPr>
        <w:t>号）、《省生态环境厅关于进一步促进民营经济绿色发展的若干措施》（苏环发〔</w:t>
      </w:r>
      <w:r w:rsidRPr="00D17BA2">
        <w:rPr>
          <w:rFonts w:ascii="Times New Roman" w:eastAsia="方正仿宋_GBK" w:hAnsi="Times New Roman" w:cs="Times New Roman"/>
          <w:snapToGrid w:val="0"/>
          <w:kern w:val="0"/>
          <w:sz w:val="32"/>
          <w:szCs w:val="32"/>
        </w:rPr>
        <w:t>2025</w:t>
      </w:r>
      <w:r w:rsidRPr="00D17BA2">
        <w:rPr>
          <w:rFonts w:ascii="Times New Roman" w:eastAsia="方正仿宋_GBK" w:hAnsi="Times New Roman" w:cs="Times New Roman" w:hint="eastAsia"/>
          <w:snapToGrid w:val="0"/>
          <w:kern w:val="0"/>
          <w:sz w:val="32"/>
          <w:szCs w:val="32"/>
        </w:rPr>
        <w:t>〕</w:t>
      </w:r>
      <w:r w:rsidRPr="00D17BA2">
        <w:rPr>
          <w:rFonts w:ascii="Times New Roman" w:eastAsia="方正仿宋_GBK" w:hAnsi="Times New Roman" w:cs="Times New Roman"/>
          <w:snapToGrid w:val="0"/>
          <w:kern w:val="0"/>
          <w:sz w:val="32"/>
          <w:szCs w:val="32"/>
        </w:rPr>
        <w:t>7</w:t>
      </w:r>
      <w:r w:rsidRPr="00D17BA2">
        <w:rPr>
          <w:rFonts w:ascii="Times New Roman" w:eastAsia="方正仿宋_GBK" w:hAnsi="Times New Roman" w:cs="Times New Roman" w:hint="eastAsia"/>
          <w:snapToGrid w:val="0"/>
          <w:kern w:val="0"/>
          <w:sz w:val="32"/>
          <w:szCs w:val="32"/>
        </w:rPr>
        <w:t>号）的有关政策，主动靠前做好服务保障，确保惠企措施直达企业。</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仿宋_GBK" w:hAnsi="Times New Roman" w:cs="Times New Roman" w:hint="eastAsia"/>
          <w:snapToGrid w:val="0"/>
          <w:kern w:val="0"/>
          <w:sz w:val="32"/>
          <w:szCs w:val="32"/>
        </w:rPr>
        <w:t>强化排污许可核发管理，并加强事中事后监管，将上述建设项目纳入</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双随机、一公开</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执法检查范围，对满足条件的企业可纳入生态环境监督执法正面清单，做到</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无事不扰</w:t>
      </w:r>
      <w:r w:rsidRPr="00D17BA2">
        <w:rPr>
          <w:rFonts w:ascii="Times New Roman" w:eastAsia="方正仿宋_GBK" w:hAnsi="Times New Roman" w:cs="Times New Roman"/>
          <w:snapToGrid w:val="0"/>
          <w:kern w:val="0"/>
          <w:sz w:val="32"/>
          <w:szCs w:val="32"/>
        </w:rPr>
        <w:t>”</w:t>
      </w:r>
      <w:r w:rsidRPr="00D17BA2">
        <w:rPr>
          <w:rFonts w:ascii="Times New Roman" w:eastAsia="方正仿宋_GBK" w:hAnsi="Times New Roman" w:cs="Times New Roman" w:hint="eastAsia"/>
          <w:snapToGrid w:val="0"/>
          <w:kern w:val="0"/>
          <w:sz w:val="32"/>
          <w:szCs w:val="32"/>
        </w:rPr>
        <w:t>。</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黑体_GBK" w:hAnsi="Times New Roman" w:cs="Times New Roman" w:hint="eastAsia"/>
          <w:snapToGrid w:val="0"/>
          <w:kern w:val="0"/>
          <w:sz w:val="32"/>
          <w:szCs w:val="32"/>
        </w:rPr>
        <w:t>十一、强化宣讲促进改革落地。</w:t>
      </w:r>
      <w:r w:rsidRPr="00D17BA2">
        <w:rPr>
          <w:rFonts w:ascii="Times New Roman" w:eastAsia="方正仿宋_GBK" w:hAnsi="Times New Roman" w:cs="Times New Roman" w:hint="eastAsia"/>
          <w:snapToGrid w:val="0"/>
          <w:kern w:val="0"/>
          <w:sz w:val="32"/>
          <w:szCs w:val="32"/>
        </w:rPr>
        <w:t>将环评改革政策纳入全省生态环境系统干部培训计划，分级分类开展审批人员、技术评估人员和产业园区管委会、乡镇（街道）招商引资一线人员培训，提升专业素养和依法履职能力。加强环评改革政策宣讲，通过江苏政务服务网、政务新媒体、企业环保接待日等渠道集中发布、主动推送，提高政策知晓度，指导企业用好、用足政策，依法合规建设。加强环评审批窗口建设，规范服务行为，落实首问负责、</w:t>
      </w:r>
      <w:r w:rsidRPr="00D17BA2">
        <w:rPr>
          <w:rFonts w:ascii="Times New Roman" w:eastAsia="方正仿宋_GBK" w:hAnsi="Times New Roman" w:cs="Times New Roman" w:hint="eastAsia"/>
          <w:snapToGrid w:val="0"/>
          <w:kern w:val="0"/>
          <w:sz w:val="32"/>
          <w:szCs w:val="32"/>
        </w:rPr>
        <w:lastRenderedPageBreak/>
        <w:t>一次性告知等制度，提升服务意识和窗口形象。建立问题反馈和会商机制，畅通省、市、县三级问题反馈渠道，对政策答复口径和疑难问题会商研究、统一执行标准，确保各项改革措施上下贯通、执行到位。</w:t>
      </w:r>
    </w:p>
    <w:p w:rsidR="00C51E61" w:rsidRPr="00D17BA2" w:rsidRDefault="00C51E61" w:rsidP="00C51E61">
      <w:pPr>
        <w:autoSpaceDE w:val="0"/>
        <w:autoSpaceDN w:val="0"/>
        <w:adjustRightInd w:val="0"/>
        <w:snapToGrid w:val="0"/>
        <w:spacing w:line="590" w:lineRule="exact"/>
        <w:ind w:firstLineChars="200" w:firstLine="640"/>
        <w:rPr>
          <w:rFonts w:ascii="Times New Roman" w:eastAsia="方正仿宋_GBK" w:hAnsi="Times New Roman" w:cs="Times New Roman"/>
          <w:snapToGrid w:val="0"/>
          <w:kern w:val="0"/>
          <w:sz w:val="32"/>
          <w:szCs w:val="32"/>
        </w:rPr>
      </w:pPr>
      <w:r w:rsidRPr="00D17BA2">
        <w:rPr>
          <w:rFonts w:ascii="Times New Roman" w:eastAsia="方正仿宋_GBK" w:hAnsi="Times New Roman" w:cs="Times New Roman" w:hint="eastAsia"/>
          <w:snapToGrid w:val="0"/>
          <w:kern w:val="0"/>
          <w:sz w:val="32"/>
          <w:szCs w:val="32"/>
        </w:rPr>
        <w:t>本文件适用于本省行政区域内一般建设项目的生态环境影响评价管理（除特别说明外，不含核与辐射类建设项目）。法律、法规另有规定的，从其规定。自印发之日起施行，有效期至</w:t>
      </w:r>
      <w:r w:rsidRPr="00D17BA2">
        <w:rPr>
          <w:rFonts w:ascii="Times New Roman" w:eastAsia="方正仿宋_GBK" w:hAnsi="Times New Roman" w:cs="Times New Roman"/>
          <w:snapToGrid w:val="0"/>
          <w:kern w:val="0"/>
          <w:sz w:val="32"/>
          <w:szCs w:val="32"/>
        </w:rPr>
        <w:t>2028</w:t>
      </w:r>
      <w:r w:rsidRPr="00D17BA2">
        <w:rPr>
          <w:rFonts w:ascii="Times New Roman" w:eastAsia="方正仿宋_GBK" w:hAnsi="Times New Roman" w:cs="Times New Roman" w:hint="eastAsia"/>
          <w:snapToGrid w:val="0"/>
          <w:kern w:val="0"/>
          <w:sz w:val="32"/>
          <w:szCs w:val="32"/>
        </w:rPr>
        <w:t>年</w:t>
      </w:r>
      <w:r w:rsidRPr="00D17BA2">
        <w:rPr>
          <w:rFonts w:ascii="Times New Roman" w:eastAsia="方正仿宋_GBK" w:hAnsi="Times New Roman" w:cs="Times New Roman"/>
          <w:snapToGrid w:val="0"/>
          <w:kern w:val="0"/>
          <w:sz w:val="32"/>
          <w:szCs w:val="32"/>
        </w:rPr>
        <w:t>12</w:t>
      </w:r>
      <w:r w:rsidRPr="00D17BA2">
        <w:rPr>
          <w:rFonts w:ascii="Times New Roman" w:eastAsia="方正仿宋_GBK" w:hAnsi="Times New Roman" w:cs="Times New Roman" w:hint="eastAsia"/>
          <w:snapToGrid w:val="0"/>
          <w:kern w:val="0"/>
          <w:sz w:val="32"/>
          <w:szCs w:val="32"/>
        </w:rPr>
        <w:t>月</w:t>
      </w:r>
      <w:r w:rsidRPr="00D17BA2">
        <w:rPr>
          <w:rFonts w:ascii="Times New Roman" w:eastAsia="方正仿宋_GBK" w:hAnsi="Times New Roman" w:cs="Times New Roman"/>
          <w:snapToGrid w:val="0"/>
          <w:kern w:val="0"/>
          <w:sz w:val="32"/>
          <w:szCs w:val="32"/>
        </w:rPr>
        <w:t>31</w:t>
      </w:r>
      <w:r w:rsidRPr="00D17BA2">
        <w:rPr>
          <w:rFonts w:ascii="Times New Roman" w:eastAsia="方正仿宋_GBK" w:hAnsi="Times New Roman" w:cs="Times New Roman" w:hint="eastAsia"/>
          <w:snapToGrid w:val="0"/>
          <w:kern w:val="0"/>
          <w:sz w:val="32"/>
          <w:szCs w:val="32"/>
        </w:rPr>
        <w:t>日。</w:t>
      </w:r>
    </w:p>
    <w:p w:rsidR="00985FEA" w:rsidRDefault="00985FEA"/>
    <w:sectPr w:rsidR="00985FEA" w:rsidSect="00C51E61">
      <w:footerReference w:type="default" r:id="rId6"/>
      <w:pgSz w:w="11906" w:h="16838"/>
      <w:pgMar w:top="1985" w:right="1531" w:bottom="2098"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0D7" w:rsidRDefault="009620D7" w:rsidP="00C51E61">
      <w:r>
        <w:separator/>
      </w:r>
    </w:p>
  </w:endnote>
  <w:endnote w:type="continuationSeparator" w:id="0">
    <w:p w:rsidR="009620D7" w:rsidRDefault="009620D7" w:rsidP="00C5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2003" w:usb1="090E0000" w:usb2="00000010" w:usb3="00000000" w:csb0="003C0041"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0905800"/>
      <w:docPartObj>
        <w:docPartGallery w:val="Page Numbers (Bottom of Page)"/>
        <w:docPartUnique/>
      </w:docPartObj>
    </w:sdtPr>
    <w:sdtEndPr>
      <w:rPr>
        <w:rFonts w:ascii="Times New Roman" w:hAnsi="Times New Roman" w:cs="Times New Roman"/>
        <w:sz w:val="28"/>
        <w:szCs w:val="28"/>
      </w:rPr>
    </w:sdtEndPr>
    <w:sdtContent>
      <w:p w:rsidR="00C51E61" w:rsidRPr="00C51E61" w:rsidRDefault="00C51E61">
        <w:pPr>
          <w:pStyle w:val="a5"/>
          <w:jc w:val="center"/>
          <w:rPr>
            <w:rFonts w:ascii="Times New Roman" w:hAnsi="Times New Roman" w:cs="Times New Roman"/>
            <w:sz w:val="28"/>
            <w:szCs w:val="28"/>
          </w:rPr>
        </w:pPr>
        <w:r w:rsidRPr="00C51E61">
          <w:rPr>
            <w:rFonts w:ascii="Times New Roman" w:hAnsi="Times New Roman" w:cs="Times New Roman"/>
            <w:sz w:val="28"/>
            <w:szCs w:val="28"/>
          </w:rPr>
          <w:fldChar w:fldCharType="begin"/>
        </w:r>
        <w:r w:rsidRPr="00C51E61">
          <w:rPr>
            <w:rFonts w:ascii="Times New Roman" w:hAnsi="Times New Roman" w:cs="Times New Roman"/>
            <w:sz w:val="28"/>
            <w:szCs w:val="28"/>
          </w:rPr>
          <w:instrText>PAGE   \* MERGEFORMAT</w:instrText>
        </w:r>
        <w:r w:rsidRPr="00C51E61">
          <w:rPr>
            <w:rFonts w:ascii="Times New Roman" w:hAnsi="Times New Roman" w:cs="Times New Roman"/>
            <w:sz w:val="28"/>
            <w:szCs w:val="28"/>
          </w:rPr>
          <w:fldChar w:fldCharType="separate"/>
        </w:r>
        <w:r w:rsidRPr="00C51E61">
          <w:rPr>
            <w:rFonts w:ascii="Times New Roman" w:hAnsi="Times New Roman" w:cs="Times New Roman"/>
            <w:noProof/>
            <w:sz w:val="28"/>
            <w:szCs w:val="28"/>
            <w:lang w:val="zh-CN"/>
          </w:rPr>
          <w:t>-</w:t>
        </w:r>
        <w:r>
          <w:rPr>
            <w:rFonts w:ascii="Times New Roman" w:hAnsi="Times New Roman" w:cs="Times New Roman"/>
            <w:noProof/>
            <w:sz w:val="28"/>
            <w:szCs w:val="28"/>
          </w:rPr>
          <w:t xml:space="preserve"> 7 -</w:t>
        </w:r>
        <w:r w:rsidRPr="00C51E61">
          <w:rPr>
            <w:rFonts w:ascii="Times New Roman" w:hAnsi="Times New Roman" w:cs="Times New Roman"/>
            <w:sz w:val="28"/>
            <w:szCs w:val="28"/>
          </w:rPr>
          <w:fldChar w:fldCharType="end"/>
        </w:r>
      </w:p>
    </w:sdtContent>
  </w:sdt>
  <w:p w:rsidR="00C51E61" w:rsidRDefault="00C51E6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0D7" w:rsidRDefault="009620D7" w:rsidP="00C51E61">
      <w:r>
        <w:separator/>
      </w:r>
    </w:p>
  </w:footnote>
  <w:footnote w:type="continuationSeparator" w:id="0">
    <w:p w:rsidR="009620D7" w:rsidRDefault="009620D7" w:rsidP="00C5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F27"/>
    <w:rsid w:val="00666F27"/>
    <w:rsid w:val="009620D7"/>
    <w:rsid w:val="00985FEA"/>
    <w:rsid w:val="00C51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48F32"/>
  <w15:chartTrackingRefBased/>
  <w15:docId w15:val="{AC905CA7-16C5-4D7E-B3FB-C262BD6E5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E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1E6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51E61"/>
    <w:rPr>
      <w:sz w:val="18"/>
      <w:szCs w:val="18"/>
    </w:rPr>
  </w:style>
  <w:style w:type="paragraph" w:styleId="a5">
    <w:name w:val="footer"/>
    <w:basedOn w:val="a"/>
    <w:link w:val="a6"/>
    <w:uiPriority w:val="99"/>
    <w:unhideWhenUsed/>
    <w:rsid w:val="00C51E61"/>
    <w:pPr>
      <w:tabs>
        <w:tab w:val="center" w:pos="4153"/>
        <w:tab w:val="right" w:pos="8306"/>
      </w:tabs>
      <w:snapToGrid w:val="0"/>
      <w:jc w:val="left"/>
    </w:pPr>
    <w:rPr>
      <w:sz w:val="18"/>
      <w:szCs w:val="18"/>
    </w:rPr>
  </w:style>
  <w:style w:type="character" w:customStyle="1" w:styleId="a6">
    <w:name w:val="页脚 字符"/>
    <w:basedOn w:val="a0"/>
    <w:link w:val="a5"/>
    <w:uiPriority w:val="99"/>
    <w:rsid w:val="00C51E6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517</Words>
  <Characters>2953</Characters>
  <Application>Microsoft Office Word</Application>
  <DocSecurity>0</DocSecurity>
  <Lines>24</Lines>
  <Paragraphs>6</Paragraphs>
  <ScaleCrop>false</ScaleCrop>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humj</dc:creator>
  <cp:keywords/>
  <dc:description/>
  <cp:lastModifiedBy>humj</cp:lastModifiedBy>
  <cp:revision>2</cp:revision>
  <dcterms:created xsi:type="dcterms:W3CDTF">2026-10-21T09:17:00Z</dcterms:created>
  <dcterms:modified xsi:type="dcterms:W3CDTF">2026-10-21T09:19:00Z</dcterms:modified>
</cp:coreProperties>
</file>