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outlineLvl w:val="0"/>
      </w:pPr>
      <w:bookmarkStart w:id="1" w:name="_GoBack"/>
      <w:bookmarkEnd w:id="1"/>
      <w:bookmarkStart w:id="0" w:name="_Hlk132617731"/>
    </w:p>
    <w:p>
      <w:pPr>
        <w:pStyle w:val="21"/>
        <w:outlineLvl w:val="0"/>
      </w:pPr>
      <w:r>
        <w:rPr>
          <w:rFonts w:hint="eastAsia"/>
        </w:rPr>
        <w:t>长三角生态绿色一体化发展示范区</w:t>
      </w:r>
    </w:p>
    <w:p>
      <w:pPr>
        <w:pStyle w:val="21"/>
        <w:outlineLvl w:val="0"/>
      </w:pPr>
      <w:r>
        <w:rPr>
          <w:rFonts w:hint="eastAsia"/>
        </w:rPr>
        <w:t>绿色发展领军企业评选</w:t>
      </w:r>
      <w:bookmarkEnd w:id="0"/>
      <w:r>
        <w:rPr>
          <w:rFonts w:hint="eastAsia"/>
        </w:rPr>
        <w:t>方案（试行）</w:t>
      </w:r>
    </w:p>
    <w:p/>
    <w:p>
      <w:pPr>
        <w:rPr>
          <w:szCs w:val="32"/>
        </w:rPr>
      </w:pPr>
      <w:r>
        <w:rPr>
          <w:rFonts w:hint="eastAsia"/>
          <w:szCs w:val="32"/>
        </w:rPr>
        <w:t>为深入贯彻习近平生态文明思想，认真落实《长三角生态绿色一体化发展示范区总体方案》，加快推动长三角生态绿色一体化发展示范区（以下简称一体化示范区）绿色低碳转型，经江苏省生态环境厅、上海市生态环境局、浙江省生态环境厅、长三角生态绿色一体化发展示范区执行委员会（以下简称示范区执委会）研究，决定在一体化示范区开展绿色发展领军企业评选工作。现制定评选方案如下：</w:t>
      </w:r>
    </w:p>
    <w:p>
      <w:pPr>
        <w:rPr>
          <w:rFonts w:eastAsia="方正黑体_GBK" w:cs="方正黑体_GBK"/>
        </w:rPr>
      </w:pPr>
      <w:r>
        <w:rPr>
          <w:rFonts w:hint="eastAsia" w:eastAsia="方正黑体_GBK" w:cs="方正黑体_GBK"/>
        </w:rPr>
        <w:t>一、总体要求</w:t>
      </w:r>
    </w:p>
    <w:p>
      <w:pPr>
        <w:rPr>
          <w:szCs w:val="32"/>
        </w:rPr>
      </w:pPr>
      <w:r>
        <w:rPr>
          <w:rFonts w:hint="eastAsia"/>
          <w:szCs w:val="32"/>
        </w:rPr>
        <w:t>以习近平新时代中国特色社会主义思想为指导，完整、准确、全面贯彻新发展理念，以推动一体化示范区高质量发展为导向，通过培育一批绿色发展领军企业，树立绿色低碳发展标杆，加强生态环境保护正向激励，引导企业主动落实污染防治主体责任，加快节能降碳先进技术研发和推广应用，全面提升能源资源利用效率，推动形成绿色低碳的生产方式，促进一体化示范区高质量发展走在前列。</w:t>
      </w:r>
    </w:p>
    <w:p>
      <w:pPr>
        <w:rPr>
          <w:rFonts w:eastAsia="方正黑体_GBK" w:cs="方正黑体_GBK"/>
        </w:rPr>
      </w:pPr>
      <w:r>
        <w:rPr>
          <w:rFonts w:hint="eastAsia" w:eastAsia="方正黑体_GBK" w:cs="方正黑体_GBK"/>
        </w:rPr>
        <w:t>二、申报范围</w:t>
      </w:r>
    </w:p>
    <w:p>
      <w:pPr>
        <w:rPr>
          <w:szCs w:val="32"/>
        </w:rPr>
      </w:pPr>
      <w:r>
        <w:rPr>
          <w:rFonts w:hint="eastAsia"/>
          <w:szCs w:val="32"/>
        </w:rPr>
        <w:t>一体化示范区（青浦区、吴江区、嘉善县）内注册的企业，重点支持战略性新兴产业和地区具有代表性的特色行业，聚焦新能源、新材料、生物医药、装备制造、电子信息等行业，选择一批代表性强的企业开展绿色发展领军企业培育。</w:t>
      </w:r>
    </w:p>
    <w:p>
      <w:pPr>
        <w:rPr>
          <w:rFonts w:eastAsia="方正黑体_GBK" w:cs="方正黑体_GBK"/>
        </w:rPr>
      </w:pPr>
      <w:r>
        <w:rPr>
          <w:rFonts w:hint="eastAsia" w:eastAsia="方正黑体_GBK" w:cs="方正黑体_GBK"/>
        </w:rPr>
        <w:t>三、评选标准</w:t>
      </w:r>
    </w:p>
    <w:p>
      <w:pPr>
        <w:rPr>
          <w:szCs w:val="32"/>
        </w:rPr>
      </w:pPr>
      <w:r>
        <w:rPr>
          <w:rFonts w:hint="eastAsia"/>
          <w:szCs w:val="32"/>
        </w:rPr>
        <w:t>一体化示范区绿色发展领军企业评价指标体系由基本条件、评分指标和加分指标构成。其中，基本条件共5项；评分指标共4大类、11项，分值100分；加分指标共13项，分值13分。参评企业在满足基本条件的前提下，对照评分指标和加分项进行逐项打分，得分总和高于90分的企业纳入绿色发展领军企业入围名单。</w:t>
      </w:r>
    </w:p>
    <w:p>
      <w:pPr>
        <w:tabs>
          <w:tab w:val="left" w:pos="0"/>
        </w:tabs>
        <w:adjustRightInd w:val="0"/>
        <w:ind w:left="640" w:leftChars="200" w:firstLine="0"/>
        <w:outlineLvl w:val="2"/>
        <w:rPr>
          <w:rFonts w:eastAsia="方正楷体_GBK"/>
          <w:b/>
          <w:bCs/>
        </w:rPr>
      </w:pPr>
      <w:r>
        <w:rPr>
          <w:rFonts w:hint="eastAsia" w:eastAsia="方正楷体_GBK"/>
          <w:b/>
          <w:bCs/>
        </w:rPr>
        <w:t>（一）基本条件</w:t>
      </w:r>
    </w:p>
    <w:p>
      <w:pPr>
        <w:rPr>
          <w:szCs w:val="32"/>
        </w:rPr>
      </w:pPr>
      <w:r>
        <w:rPr>
          <w:rFonts w:hint="eastAsia"/>
          <w:szCs w:val="32"/>
        </w:rPr>
        <w:t>申报一体化示范区绿色发展领军企业应当具备以下基本条件：</w:t>
      </w:r>
    </w:p>
    <w:p>
      <w:pPr>
        <w:rPr>
          <w:szCs w:val="32"/>
        </w:rPr>
      </w:pPr>
      <w:r>
        <w:rPr>
          <w:rFonts w:hint="eastAsia"/>
          <w:szCs w:val="32"/>
        </w:rPr>
        <w:t>1.生产工艺装备及产品符合产业政策要求。</w:t>
      </w:r>
    </w:p>
    <w:p>
      <w:pPr>
        <w:rPr>
          <w:szCs w:val="32"/>
        </w:rPr>
      </w:pPr>
      <w:r>
        <w:rPr>
          <w:rFonts w:hint="eastAsia"/>
          <w:szCs w:val="32"/>
        </w:rPr>
        <w:t>2.按照《环境管理体系要求及使用指南》（GB/T24001—2016/ISO14001:2015），建立实施企业环境管理体系。属于实施强制性清洁生产审核和环境信息披露范围的企业，按照相关规定开展工作。</w:t>
      </w:r>
    </w:p>
    <w:p>
      <w:pPr>
        <w:rPr>
          <w:szCs w:val="32"/>
        </w:rPr>
      </w:pPr>
      <w:r>
        <w:rPr>
          <w:rFonts w:hint="eastAsia"/>
          <w:szCs w:val="32"/>
        </w:rPr>
        <w:t>3.配备污染物处理设施并保持正常运转、污染物稳定达标排放，且满足区域排放总量控制要求。需安装在线监测设备的企业，应按照相关管理要求安装并与生态环境部门联网。</w:t>
      </w:r>
    </w:p>
    <w:p>
      <w:pPr>
        <w:rPr>
          <w:szCs w:val="32"/>
        </w:rPr>
      </w:pPr>
      <w:r>
        <w:rPr>
          <w:rFonts w:hint="eastAsia"/>
          <w:szCs w:val="32"/>
        </w:rPr>
        <w:t>4.生态环境守法状况良好，3年内未发生生态环境违法行为，未发生突发环境事件，不存在环境有效信访问题或被媒体曝光。</w:t>
      </w:r>
    </w:p>
    <w:p>
      <w:pPr>
        <w:rPr>
          <w:szCs w:val="32"/>
        </w:rPr>
      </w:pPr>
      <w:r>
        <w:rPr>
          <w:rFonts w:hint="eastAsia"/>
          <w:szCs w:val="32"/>
        </w:rPr>
        <w:t>5.近三年无不良信用记录，未被列为失信被执行人。</w:t>
      </w:r>
    </w:p>
    <w:p>
      <w:pPr>
        <w:tabs>
          <w:tab w:val="left" w:pos="0"/>
        </w:tabs>
        <w:ind w:left="640" w:leftChars="200" w:firstLine="0"/>
        <w:outlineLvl w:val="2"/>
        <w:rPr>
          <w:rFonts w:eastAsia="方正楷体_GBK"/>
          <w:b/>
          <w:bCs/>
        </w:rPr>
      </w:pPr>
      <w:r>
        <w:rPr>
          <w:rFonts w:hint="eastAsia" w:eastAsia="方正楷体_GBK"/>
          <w:b/>
          <w:bCs/>
        </w:rPr>
        <w:t>（二）</w:t>
      </w:r>
      <w:r>
        <w:rPr>
          <w:rFonts w:eastAsia="方正楷体_GBK"/>
          <w:b/>
          <w:bCs/>
        </w:rPr>
        <w:t>评</w:t>
      </w:r>
      <w:r>
        <w:rPr>
          <w:rFonts w:hint="eastAsia" w:eastAsia="方正楷体_GBK"/>
          <w:b/>
          <w:bCs/>
        </w:rPr>
        <w:t>分</w:t>
      </w:r>
      <w:r>
        <w:rPr>
          <w:rFonts w:eastAsia="方正楷体_GBK"/>
          <w:b/>
          <w:bCs/>
        </w:rPr>
        <w:t>指标</w:t>
      </w:r>
    </w:p>
    <w:p>
      <w:pPr>
        <w:rPr>
          <w:szCs w:val="32"/>
        </w:rPr>
      </w:pPr>
      <w:r>
        <w:rPr>
          <w:rFonts w:hint="eastAsia"/>
          <w:szCs w:val="32"/>
        </w:rPr>
        <w:t>评分指标包括：工艺装备、资源集约、循环利用、减污降碳四大类，共11项，满分100分。</w:t>
      </w:r>
    </w:p>
    <w:p>
      <w:pPr>
        <w:rPr>
          <w:szCs w:val="32"/>
        </w:rPr>
      </w:pPr>
      <w:r>
        <w:rPr>
          <w:rFonts w:hint="eastAsia"/>
          <w:szCs w:val="32"/>
        </w:rPr>
        <w:t>1.工艺装备。包括生产工艺水平、通用装备运行效率2项指标，满分20分。</w:t>
      </w:r>
    </w:p>
    <w:p>
      <w:pPr>
        <w:rPr>
          <w:szCs w:val="32"/>
        </w:rPr>
      </w:pPr>
      <w:r>
        <w:rPr>
          <w:rFonts w:hint="eastAsia"/>
          <w:szCs w:val="32"/>
        </w:rPr>
        <w:t>2.资源集约。包括单位产值综合能耗、单位产值用新水量、土地产出率3项指标，满分25分。</w:t>
      </w:r>
    </w:p>
    <w:p>
      <w:pPr>
        <w:rPr>
          <w:szCs w:val="32"/>
        </w:rPr>
      </w:pPr>
      <w:r>
        <w:rPr>
          <w:rFonts w:hint="eastAsia"/>
          <w:szCs w:val="32"/>
        </w:rPr>
        <w:t>3.循环利用。包括产品可回收利用率、有害物质使用、固体废物资源化综合利用3项指标，满分25分。</w:t>
      </w:r>
    </w:p>
    <w:p>
      <w:pPr>
        <w:rPr>
          <w:szCs w:val="32"/>
        </w:rPr>
      </w:pPr>
      <w:r>
        <w:rPr>
          <w:rFonts w:hint="eastAsia"/>
          <w:szCs w:val="32"/>
        </w:rPr>
        <w:t>4.减污降碳。包括水污染物排放强度、大气污染物排放强度、单位产品碳排放3项指标，满分30分。</w:t>
      </w:r>
    </w:p>
    <w:p>
      <w:pPr>
        <w:tabs>
          <w:tab w:val="left" w:pos="0"/>
        </w:tabs>
        <w:ind w:left="640" w:leftChars="200" w:firstLine="0"/>
        <w:outlineLvl w:val="2"/>
        <w:rPr>
          <w:rFonts w:eastAsia="方正楷体_GBK"/>
          <w:b/>
          <w:bCs/>
        </w:rPr>
      </w:pPr>
      <w:r>
        <w:rPr>
          <w:rFonts w:hint="eastAsia" w:eastAsia="方正楷体_GBK"/>
          <w:b/>
          <w:bCs/>
        </w:rPr>
        <w:t>（三）</w:t>
      </w:r>
      <w:r>
        <w:rPr>
          <w:rFonts w:eastAsia="方正楷体_GBK"/>
          <w:b/>
          <w:bCs/>
        </w:rPr>
        <w:t>加分</w:t>
      </w:r>
      <w:r>
        <w:rPr>
          <w:rFonts w:hint="eastAsia" w:eastAsia="方正楷体_GBK"/>
          <w:b/>
          <w:bCs/>
        </w:rPr>
        <w:t>指标</w:t>
      </w:r>
    </w:p>
    <w:p>
      <w:pPr>
        <w:rPr>
          <w:szCs w:val="32"/>
        </w:rPr>
      </w:pPr>
      <w:r>
        <w:rPr>
          <w:rFonts w:hint="eastAsia"/>
          <w:szCs w:val="32"/>
        </w:rPr>
        <w:t>申报企业及其产品获得工业产品绿色设计示范企业、绿色工厂、绿色供应链管理企业、绿色设计产品、再生资源综合利用行业规范条件企业、无废工厂（集团）、重点用水企业水效“领跑者”、重点用能行业能效“领跑者”企业等荣誉称号的，每获得一项，国家级加1分，省级加0.75分，市级加0.5分，同一称号取最高级别；完成排污权跨省域交易的，出让方加1分，受让方加0.5分；企业加强碳管理，主动编制、发布企业社会责任（CSR）报告或环境、社会和公司治理（ESG）报告，实施自愿减排工程，完成污水输送明管化、雨水管网明渠化改造，每有1项，加1分。</w:t>
      </w:r>
    </w:p>
    <w:p>
      <w:pPr>
        <w:rPr>
          <w:rFonts w:eastAsia="方正黑体_GBK" w:cs="方正黑体_GBK"/>
        </w:rPr>
      </w:pPr>
      <w:r>
        <w:rPr>
          <w:rFonts w:hint="eastAsia" w:eastAsia="方正黑体_GBK" w:cs="方正黑体_GBK"/>
        </w:rPr>
        <w:t>四、评选程序</w:t>
      </w:r>
    </w:p>
    <w:p>
      <w:pPr>
        <w:rPr>
          <w:szCs w:val="32"/>
        </w:rPr>
      </w:pPr>
      <w:r>
        <w:rPr>
          <w:rFonts w:hint="eastAsia"/>
          <w:szCs w:val="32"/>
        </w:rPr>
        <w:t>一体化示范区绿色发展领军企业评选，由沪苏浙两省一市生态环境厅（局）会同示范区执委会联合组织实施。</w:t>
      </w:r>
    </w:p>
    <w:p>
      <w:pPr>
        <w:adjustRightInd w:val="0"/>
        <w:ind w:firstLine="643" w:firstLineChars="200"/>
        <w:outlineLvl w:val="2"/>
        <w:rPr>
          <w:rFonts w:eastAsia="方正楷体_GBK"/>
          <w:b/>
          <w:bCs/>
        </w:rPr>
      </w:pPr>
      <w:r>
        <w:rPr>
          <w:rFonts w:eastAsia="方正楷体_GBK"/>
          <w:b/>
          <w:bCs/>
        </w:rPr>
        <w:t>（一）企业申报</w:t>
      </w:r>
    </w:p>
    <w:p>
      <w:pPr>
        <w:rPr>
          <w:szCs w:val="32"/>
        </w:rPr>
      </w:pPr>
      <w:r>
        <w:rPr>
          <w:rFonts w:hint="eastAsia"/>
          <w:szCs w:val="32"/>
        </w:rPr>
        <w:t>按照自愿参与的原则，企业在满足五项基本条件的基础上，对照评分指标和加分指标开展自主评估，当年1月底前青浦区企业向所在乡镇生态环境部门，吴江区、嘉善县企业向所在区（县）生态环境部门提交申报材料。</w:t>
      </w:r>
    </w:p>
    <w:p>
      <w:pPr>
        <w:adjustRightInd w:val="0"/>
        <w:ind w:firstLine="643" w:firstLineChars="200"/>
        <w:outlineLvl w:val="2"/>
        <w:rPr>
          <w:rFonts w:eastAsia="方正楷体_GBK"/>
          <w:b/>
          <w:bCs/>
        </w:rPr>
      </w:pPr>
      <w:r>
        <w:rPr>
          <w:rFonts w:eastAsia="方正楷体_GBK"/>
          <w:b/>
          <w:bCs/>
        </w:rPr>
        <w:t>（二）初审</w:t>
      </w:r>
    </w:p>
    <w:p>
      <w:pPr>
        <w:rPr>
          <w:szCs w:val="32"/>
        </w:rPr>
      </w:pPr>
      <w:r>
        <w:rPr>
          <w:rFonts w:hint="eastAsia"/>
          <w:szCs w:val="32"/>
        </w:rPr>
        <w:t>青浦区企业所在乡镇生态环境部门，吴江区、嘉善县生态环境部门依据评价指标体系，组织对企业申报材料进行初审，在当年2月底前将符合评选基本条件的企业，予以推荐并出具审核推荐意见报上级生态环境部门。</w:t>
      </w:r>
    </w:p>
    <w:p>
      <w:pPr>
        <w:adjustRightInd w:val="0"/>
        <w:ind w:firstLine="643" w:firstLineChars="200"/>
        <w:outlineLvl w:val="2"/>
        <w:rPr>
          <w:rFonts w:eastAsia="方正楷体_GBK"/>
          <w:b/>
          <w:bCs/>
        </w:rPr>
      </w:pPr>
      <w:r>
        <w:rPr>
          <w:rFonts w:eastAsia="方正楷体_GBK"/>
          <w:b/>
          <w:bCs/>
        </w:rPr>
        <w:t>（三）复核</w:t>
      </w:r>
    </w:p>
    <w:p>
      <w:pPr>
        <w:rPr>
          <w:szCs w:val="32"/>
        </w:rPr>
      </w:pPr>
      <w:r>
        <w:rPr>
          <w:rFonts w:hint="eastAsia"/>
          <w:szCs w:val="32"/>
        </w:rPr>
        <w:t>苏州市、嘉兴市、青浦区生态环境部门根据企业自评结果和下级部门初审意见，对申报企业开展复核，包括材料审核、现场核查等，将符合条件、综合评价较高的企业，予以推荐并出具复核意见。在当年3月底前将推荐名单及复核结果行文上报沪苏浙两省一市生态环境厅（局）。</w:t>
      </w:r>
    </w:p>
    <w:p>
      <w:pPr>
        <w:adjustRightInd w:val="0"/>
        <w:ind w:firstLine="643" w:firstLineChars="200"/>
        <w:outlineLvl w:val="2"/>
        <w:rPr>
          <w:rFonts w:eastAsia="方正楷体_GBK"/>
          <w:b/>
          <w:bCs/>
        </w:rPr>
      </w:pPr>
      <w:r>
        <w:rPr>
          <w:rFonts w:eastAsia="方正楷体_GBK"/>
          <w:b/>
          <w:bCs/>
        </w:rPr>
        <w:t>（四）专家评估</w:t>
      </w:r>
    </w:p>
    <w:p>
      <w:pPr>
        <w:rPr>
          <w:szCs w:val="32"/>
        </w:rPr>
      </w:pPr>
      <w:r>
        <w:rPr>
          <w:rFonts w:hint="eastAsia"/>
          <w:szCs w:val="32"/>
        </w:rPr>
        <w:t>沪苏浙两省一市生态环境厅（局）联合组织专家对申报企业开展综合评估。评估采用资料审核和现场核查相结合的形式，在当年4月底前形成一体化示范区绿色发展领军企业入围名单。</w:t>
      </w:r>
    </w:p>
    <w:p>
      <w:pPr>
        <w:adjustRightInd w:val="0"/>
        <w:ind w:firstLine="643" w:firstLineChars="200"/>
        <w:outlineLvl w:val="2"/>
        <w:rPr>
          <w:rFonts w:eastAsia="方正楷体_GBK"/>
          <w:b/>
          <w:bCs/>
        </w:rPr>
      </w:pPr>
      <w:r>
        <w:rPr>
          <w:rFonts w:eastAsia="方正楷体_GBK"/>
          <w:b/>
          <w:bCs/>
        </w:rPr>
        <w:t>（五）公开发布</w:t>
      </w:r>
    </w:p>
    <w:p>
      <w:pPr>
        <w:rPr>
          <w:szCs w:val="32"/>
        </w:rPr>
      </w:pPr>
      <w:r>
        <w:rPr>
          <w:rFonts w:hint="eastAsia"/>
          <w:szCs w:val="32"/>
        </w:rPr>
        <w:t>沪苏浙两省一市生态环境厅（局）会同示范区执委会在各自官网和公众号发布一体化示范区绿色发展领军企业入围名单，公示时间不少于10个工作日。公示无异议的，正式形成“长三角生态绿色一体化发展示范区绿色发展领军企业”名单，并于当年6月5日向社会公开发布。</w:t>
      </w:r>
    </w:p>
    <w:p>
      <w:pPr>
        <w:adjustRightInd w:val="0"/>
        <w:ind w:firstLine="643" w:firstLineChars="200"/>
        <w:outlineLvl w:val="2"/>
        <w:rPr>
          <w:rFonts w:eastAsia="方正楷体_GBK"/>
          <w:b/>
          <w:bCs/>
        </w:rPr>
      </w:pPr>
      <w:r>
        <w:rPr>
          <w:rFonts w:eastAsia="方正楷体_GBK"/>
          <w:b/>
          <w:bCs/>
        </w:rPr>
        <w:t>（六）动态管理</w:t>
      </w:r>
    </w:p>
    <w:p>
      <w:pPr>
        <w:rPr>
          <w:szCs w:val="32"/>
        </w:rPr>
      </w:pPr>
      <w:r>
        <w:rPr>
          <w:rFonts w:hint="eastAsia"/>
          <w:szCs w:val="32"/>
        </w:rPr>
        <w:t>自一体化示范区绿色发展领军企业名单发布之日起，3年内有效，企业获评超过3年应当重新履行申报程序。在日常管理中发现企业不能满足基本条件任一项，或申报材料弄虚作假、不符合申报评选要求的，撤销“绿色发展领军企业”称号，取消原享受的各项激励政策，并在原发布媒体上进行通报。被撤销“绿色发展领军企业”称号的，自撤销之日起3年内不得再次申报评选。</w:t>
      </w:r>
    </w:p>
    <w:p>
      <w:pPr>
        <w:rPr>
          <w:rFonts w:eastAsia="方正黑体_GBK" w:cs="方正黑体_GBK"/>
        </w:rPr>
      </w:pPr>
      <w:r>
        <w:rPr>
          <w:rFonts w:hint="eastAsia" w:eastAsia="方正黑体_GBK" w:cs="方正黑体_GBK"/>
        </w:rPr>
        <w:t>五、实施要求</w:t>
      </w:r>
    </w:p>
    <w:p>
      <w:pPr>
        <w:adjustRightInd w:val="0"/>
        <w:ind w:firstLine="643" w:firstLineChars="200"/>
        <w:rPr>
          <w:szCs w:val="32"/>
        </w:rPr>
      </w:pPr>
      <w:r>
        <w:rPr>
          <w:rFonts w:eastAsia="方正楷体_GBK"/>
          <w:b/>
        </w:rPr>
        <w:t>（</w:t>
      </w:r>
      <w:r>
        <w:rPr>
          <w:rFonts w:hint="eastAsia" w:eastAsia="方正楷体_GBK"/>
          <w:b/>
        </w:rPr>
        <w:t>一</w:t>
      </w:r>
      <w:r>
        <w:rPr>
          <w:rFonts w:eastAsia="方正楷体_GBK"/>
          <w:b/>
        </w:rPr>
        <w:t>）加强组织协调</w:t>
      </w:r>
      <w:r>
        <w:rPr>
          <w:rFonts w:eastAsia="方正楷体_GBK"/>
          <w:bCs/>
        </w:rPr>
        <w:t>。</w:t>
      </w:r>
      <w:r>
        <w:rPr>
          <w:rFonts w:hint="eastAsia"/>
          <w:szCs w:val="32"/>
        </w:rPr>
        <w:t>沪苏浙两省一市生态环境厅（局）会同示范区执委会加强组织领导，齐心协力推进方案实施。根据沪苏浙生态环境保护政策变化情况，建立绿色发展领军企业指标体系的动态更新机制。整合科研院所、高等院校、国家级行业协会等资源，联合建立专家库。</w:t>
      </w:r>
    </w:p>
    <w:p>
      <w:pPr>
        <w:adjustRightInd w:val="0"/>
        <w:ind w:firstLine="643" w:firstLineChars="200"/>
        <w:rPr>
          <w:szCs w:val="32"/>
        </w:rPr>
      </w:pPr>
      <w:r>
        <w:rPr>
          <w:rFonts w:eastAsia="方正楷体_GBK"/>
          <w:b/>
        </w:rPr>
        <w:t>（</w:t>
      </w:r>
      <w:r>
        <w:rPr>
          <w:rFonts w:hint="eastAsia" w:eastAsia="方正楷体_GBK"/>
          <w:b/>
        </w:rPr>
        <w:t>二</w:t>
      </w:r>
      <w:r>
        <w:rPr>
          <w:rFonts w:eastAsia="方正楷体_GBK"/>
          <w:b/>
        </w:rPr>
        <w:t>）</w:t>
      </w:r>
      <w:r>
        <w:rPr>
          <w:rFonts w:hint="eastAsia" w:eastAsia="方正楷体_GBK"/>
          <w:b/>
        </w:rPr>
        <w:t>加强培育服务</w:t>
      </w:r>
      <w:r>
        <w:rPr>
          <w:rFonts w:eastAsia="方正楷体_GBK"/>
          <w:bCs/>
        </w:rPr>
        <w:t>。</w:t>
      </w:r>
      <w:r>
        <w:rPr>
          <w:rFonts w:hint="eastAsia"/>
          <w:szCs w:val="32"/>
        </w:rPr>
        <w:t>积极开展绿色发展领军企业培育政策解读、业务指导，主动帮助企业提升污染治理水平，推动企业自觉向领军企业看齐，主动走生态优先、绿色发展之路，共同推进经济社会高质量发展、生态环境高水平保护。</w:t>
      </w:r>
    </w:p>
    <w:p>
      <w:pPr>
        <w:adjustRightInd w:val="0"/>
        <w:ind w:firstLine="643" w:firstLineChars="200"/>
        <w:rPr>
          <w:szCs w:val="32"/>
        </w:rPr>
      </w:pPr>
      <w:r>
        <w:rPr>
          <w:rFonts w:eastAsia="方正楷体_GBK"/>
          <w:b/>
        </w:rPr>
        <w:t>（</w:t>
      </w:r>
      <w:r>
        <w:rPr>
          <w:rFonts w:hint="eastAsia" w:eastAsia="方正楷体_GBK"/>
          <w:b/>
        </w:rPr>
        <w:t>三</w:t>
      </w:r>
      <w:r>
        <w:rPr>
          <w:rFonts w:eastAsia="方正楷体_GBK"/>
          <w:b/>
        </w:rPr>
        <w:t>）加强宣传推广</w:t>
      </w:r>
      <w:r>
        <w:rPr>
          <w:rFonts w:eastAsia="方正楷体_GBK"/>
          <w:bCs/>
        </w:rPr>
        <w:t>。</w:t>
      </w:r>
      <w:r>
        <w:rPr>
          <w:rFonts w:hint="eastAsia"/>
          <w:szCs w:val="32"/>
        </w:rPr>
        <w:t>广泛宣传获评企业典型做法和先进经验，促进企业扩大品牌影响力，在全社会形成支持企业绿色发展的舆论环境，营造保护环境就是发展生产力的浓厚氛围。</w:t>
      </w:r>
    </w:p>
    <w:p>
      <w:pPr>
        <w:rPr>
          <w:rFonts w:eastAsia="方正黑体_GBK" w:cs="方正黑体_GBK"/>
        </w:rPr>
      </w:pPr>
      <w:r>
        <w:rPr>
          <w:rFonts w:hint="eastAsia" w:eastAsia="方正黑体_GBK" w:cs="方正黑体_GBK"/>
        </w:rPr>
        <w:t>六、激励措施</w:t>
      </w:r>
    </w:p>
    <w:p>
      <w:pPr>
        <w:rPr>
          <w:szCs w:val="32"/>
        </w:rPr>
      </w:pPr>
      <w:r>
        <w:rPr>
          <w:rFonts w:hint="eastAsia"/>
          <w:szCs w:val="32"/>
        </w:rPr>
        <w:t>获得“长三角生态绿色一体化发展示范区绿色发展领军企业”称号的企业，享受以下激励政策，同时享受企业所在省（市）绿色发展领军企业或环保“领跑者”企业等相关激励政策。</w:t>
      </w:r>
    </w:p>
    <w:p>
      <w:pPr>
        <w:rPr>
          <w:rFonts w:eastAsia="方正楷体_GBK" w:cs="方正楷体_GBK"/>
          <w:b/>
        </w:rPr>
      </w:pPr>
      <w:r>
        <w:rPr>
          <w:rFonts w:hint="eastAsia" w:eastAsia="方正楷体_GBK" w:cs="方正楷体_GBK"/>
          <w:b/>
        </w:rPr>
        <w:t>（一）加大财税政策支持</w:t>
      </w:r>
    </w:p>
    <w:p>
      <w:pPr>
        <w:rPr>
          <w:szCs w:val="32"/>
        </w:rPr>
      </w:pPr>
      <w:r>
        <w:rPr>
          <w:rFonts w:hint="eastAsia"/>
          <w:szCs w:val="32"/>
        </w:rPr>
        <w:t>1.优先支持向生态环境保护专项资金项目库申报项目，生态环境等部门主动对接，做好项目申报的咨询和辅导。</w:t>
      </w:r>
    </w:p>
    <w:p>
      <w:pPr>
        <w:rPr>
          <w:szCs w:val="32"/>
        </w:rPr>
      </w:pPr>
      <w:r>
        <w:rPr>
          <w:rFonts w:hint="eastAsia"/>
          <w:szCs w:val="32"/>
        </w:rPr>
        <w:t>2.指导企业享受各项环境保护和污染防治税收减免政策。</w:t>
      </w:r>
    </w:p>
    <w:p>
      <w:pPr>
        <w:rPr>
          <w:szCs w:val="32"/>
        </w:rPr>
      </w:pPr>
      <w:r>
        <w:rPr>
          <w:rFonts w:hint="eastAsia"/>
          <w:szCs w:val="32"/>
        </w:rPr>
        <w:t>3.鼓励一体化示范区内金融机构创新绿色金融产品，优先给予获评企业绿色金融支持。</w:t>
      </w:r>
    </w:p>
    <w:p>
      <w:pPr>
        <w:rPr>
          <w:szCs w:val="32"/>
        </w:rPr>
      </w:pPr>
      <w:r>
        <w:rPr>
          <w:rFonts w:hint="eastAsia"/>
          <w:szCs w:val="32"/>
        </w:rPr>
        <w:t>4.鼓励地方给予获评企业适当的资金奖励或补贴。</w:t>
      </w:r>
    </w:p>
    <w:p>
      <w:pPr>
        <w:rPr>
          <w:rFonts w:eastAsia="方正楷体_GBK" w:cs="方正楷体_GBK"/>
          <w:b/>
        </w:rPr>
      </w:pPr>
      <w:r>
        <w:rPr>
          <w:rFonts w:hint="eastAsia" w:eastAsia="方正楷体_GBK" w:cs="方正楷体_GBK"/>
          <w:b/>
        </w:rPr>
        <w:t>（二）</w:t>
      </w:r>
      <w:r>
        <w:rPr>
          <w:rFonts w:eastAsia="方正楷体_GBK" w:cs="方正楷体_GBK"/>
          <w:b/>
        </w:rPr>
        <w:t>优化</w:t>
      </w:r>
      <w:r>
        <w:rPr>
          <w:rFonts w:hint="eastAsia" w:eastAsia="方正楷体_GBK" w:cs="方正楷体_GBK"/>
          <w:b/>
        </w:rPr>
        <w:t>环境管理服务</w:t>
      </w:r>
    </w:p>
    <w:p>
      <w:pPr>
        <w:rPr>
          <w:szCs w:val="32"/>
        </w:rPr>
      </w:pPr>
      <w:r>
        <w:rPr>
          <w:rFonts w:hint="eastAsia"/>
          <w:szCs w:val="32"/>
        </w:rPr>
        <w:t>1.将企业新、改、扩建项目纳入环评审批“绿色通道”，提前介入，优先指导，帮助企业解决制约项目环评审批的各类堵点难点问题。</w:t>
      </w:r>
    </w:p>
    <w:p>
      <w:pPr>
        <w:rPr>
          <w:szCs w:val="32"/>
        </w:rPr>
      </w:pPr>
      <w:r>
        <w:rPr>
          <w:rFonts w:hint="eastAsia"/>
          <w:szCs w:val="32"/>
        </w:rPr>
        <w:t>2.对于企业拟落户省级以上产业园区，应编制环评报告表的项目，在规划环评通过审查的情况下，可简化项目环评内容，试行告知承诺制审批。</w:t>
      </w:r>
    </w:p>
    <w:p>
      <w:pPr>
        <w:rPr>
          <w:szCs w:val="32"/>
        </w:rPr>
      </w:pPr>
      <w:r>
        <w:rPr>
          <w:rFonts w:hint="eastAsia"/>
          <w:szCs w:val="32"/>
        </w:rPr>
        <w:t>3.对企业申领、延续、变更排污许可证，开展全过程帮扶指导，帮助企业依法合规落实排污许可证各项管理要求。</w:t>
      </w:r>
    </w:p>
    <w:p>
      <w:pPr>
        <w:rPr>
          <w:szCs w:val="32"/>
        </w:rPr>
      </w:pPr>
      <w:r>
        <w:rPr>
          <w:rFonts w:hint="eastAsia"/>
          <w:szCs w:val="32"/>
        </w:rPr>
        <w:t>4.对企业新、改、扩建项目需要增加排污总量指标的，优先调剂；所在县（区）级调剂有困难的，由所在设区市级、省（市）级予以优先统筹或在一体化示范区范围内进行调剂。</w:t>
      </w:r>
    </w:p>
    <w:p>
      <w:pPr>
        <w:rPr>
          <w:szCs w:val="32"/>
        </w:rPr>
      </w:pPr>
      <w:r>
        <w:rPr>
          <w:rFonts w:hint="eastAsia"/>
          <w:szCs w:val="32"/>
        </w:rPr>
        <w:t>5.获评企业纳入地方生态环境监督执法正面清单，除投诉举报、媒体曝光、应急处置等必须开展的现场检查外，原则上只通过非现场执法的方式开展执法监督。“双随机、一公开”检查原则上每年不超过一次。</w:t>
      </w:r>
    </w:p>
    <w:p>
      <w:pPr>
        <w:rPr>
          <w:szCs w:val="32"/>
        </w:rPr>
      </w:pPr>
      <w:r>
        <w:rPr>
          <w:rFonts w:hint="eastAsia"/>
          <w:szCs w:val="32"/>
        </w:rPr>
        <w:t>6.自动纳入应急管控停限产豁免名单，免于执行应急停产、错峰生产等管控措施；在各类专项检查、交叉检查、重大活动保障中，适用豁免检查。</w:t>
      </w:r>
    </w:p>
    <w:p>
      <w:pPr>
        <w:rPr>
          <w:szCs w:val="32"/>
        </w:rPr>
      </w:pPr>
      <w:r>
        <w:rPr>
          <w:rFonts w:hint="eastAsia"/>
          <w:szCs w:val="32"/>
        </w:rPr>
        <w:t>7.强化信任保护，在有效期限内，环保信用评级时给予最优等级。</w:t>
      </w:r>
    </w:p>
    <w:p>
      <w:pPr>
        <w:rPr>
          <w:szCs w:val="32"/>
        </w:rPr>
      </w:pPr>
      <w:r>
        <w:rPr>
          <w:rFonts w:hint="eastAsia"/>
          <w:szCs w:val="32"/>
        </w:rPr>
        <w:t>8.优先安排参加企业环保接待日或企业环保咨询日等相关活动，加强政企互动，及时了解企业环保诉求和意见建议。</w:t>
      </w:r>
    </w:p>
    <w:p>
      <w:pPr>
        <w:rPr>
          <w:szCs w:val="32"/>
        </w:rPr>
      </w:pPr>
      <w:r>
        <w:rPr>
          <w:rFonts w:hint="eastAsia"/>
          <w:szCs w:val="32"/>
        </w:rPr>
        <w:t>9.获评企业符合条件的专职环保管理人员优先纳入各级环保专家库。</w:t>
      </w:r>
    </w:p>
    <w:p>
      <w:pPr>
        <w:rPr>
          <w:szCs w:val="32"/>
        </w:rPr>
      </w:pPr>
      <w:r>
        <w:rPr>
          <w:rFonts w:hint="eastAsia"/>
          <w:szCs w:val="32"/>
        </w:rPr>
        <w:t>10.在主流媒体或官方公众号对获评企业进行宣传，提升企业知名度，促进品牌推广。</w:t>
      </w:r>
    </w:p>
    <w:p>
      <w:pPr>
        <w:rPr>
          <w:rFonts w:eastAsia="方正楷体_GBK" w:cs="方正楷体_GBK"/>
          <w:b/>
        </w:rPr>
      </w:pPr>
      <w:r>
        <w:rPr>
          <w:rFonts w:hint="eastAsia" w:eastAsia="方正楷体_GBK" w:cs="方正楷体_GBK"/>
          <w:b/>
        </w:rPr>
        <w:t>（三）加强环境科技服务</w:t>
      </w:r>
    </w:p>
    <w:p>
      <w:pPr>
        <w:rPr>
          <w:szCs w:val="32"/>
        </w:rPr>
      </w:pPr>
      <w:r>
        <w:rPr>
          <w:rFonts w:hint="eastAsia"/>
          <w:szCs w:val="32"/>
        </w:rPr>
        <w:t>1.符合条件的企业可优先申报生态环境重点实验室、工程技术中心。</w:t>
      </w:r>
    </w:p>
    <w:p>
      <w:pPr>
        <w:rPr>
          <w:szCs w:val="32"/>
        </w:rPr>
      </w:pPr>
      <w:r>
        <w:rPr>
          <w:rFonts w:hint="eastAsia"/>
          <w:szCs w:val="32"/>
        </w:rPr>
        <w:t>2.优先安排参加国际环保新技术大会，优先享受前沿环保技术服务。</w:t>
      </w:r>
    </w:p>
    <w:p>
      <w:pPr>
        <w:rPr>
          <w:szCs w:val="32"/>
        </w:rPr>
      </w:pPr>
      <w:r>
        <w:rPr>
          <w:rFonts w:hint="eastAsia"/>
          <w:szCs w:val="32"/>
        </w:rPr>
        <w:t>3.定期组织专家开展定向精准帮扶，推动企业产业升级、节约原料、节能减排，促进企业减污增效。</w:t>
      </w:r>
    </w:p>
    <w:p>
      <w:pPr>
        <w:pStyle w:val="20"/>
        <w:ind w:firstLine="420"/>
        <w:rPr>
          <w:szCs w:val="32"/>
        </w:rPr>
      </w:pPr>
    </w:p>
    <w:p>
      <w:pPr>
        <w:pStyle w:val="23"/>
        <w:tabs>
          <w:tab w:val="left" w:pos="1442"/>
        </w:tabs>
        <w:ind w:left="2013" w:hanging="1389"/>
        <w:outlineLvl w:val="0"/>
      </w:pPr>
      <w:r>
        <w:rPr>
          <w:rFonts w:hint="eastAsia"/>
        </w:rPr>
        <w:t>附件：1</w:t>
      </w:r>
      <w:r>
        <w:t>.</w:t>
      </w:r>
      <w:r>
        <w:rPr>
          <w:rFonts w:hint="eastAsia"/>
        </w:rPr>
        <w:t xml:space="preserve"> 长三角生态绿色一体化发展示范区绿色发展领军企业评价指标体系</w:t>
      </w:r>
    </w:p>
    <w:p>
      <w:pPr>
        <w:pStyle w:val="23"/>
        <w:tabs>
          <w:tab w:val="left" w:pos="1596"/>
        </w:tabs>
        <w:ind w:left="1996" w:hanging="386"/>
        <w:rPr>
          <w:szCs w:val="32"/>
        </w:rPr>
      </w:pPr>
      <w:r>
        <w:rPr>
          <w:rFonts w:hint="eastAsia"/>
        </w:rPr>
        <w:t>2</w:t>
      </w:r>
      <w:r>
        <w:t xml:space="preserve">. </w:t>
      </w:r>
      <w:r>
        <w:rPr>
          <w:rFonts w:hint="eastAsia"/>
        </w:rPr>
        <w:t>长三角生态绿色</w:t>
      </w:r>
      <w:r>
        <w:rPr>
          <w:rFonts w:hint="eastAsia"/>
          <w:szCs w:val="32"/>
        </w:rPr>
        <w:t>一体化发展示范区绿色发展领军企业申报材料</w:t>
      </w:r>
    </w:p>
    <w:p>
      <w:pPr>
        <w:ind w:firstLine="0"/>
        <w:rPr>
          <w:rFonts w:eastAsia="方正黑体_GBK"/>
        </w:rPr>
        <w:sectPr>
          <w:footerReference r:id="rId5" w:type="default"/>
          <w:footerReference r:id="rId6" w:type="even"/>
          <w:pgSz w:w="11906" w:h="16838"/>
          <w:pgMar w:top="1814" w:right="1531" w:bottom="1984" w:left="1531" w:header="720" w:footer="1474" w:gutter="0"/>
          <w:cols w:space="720" w:num="1"/>
          <w:docGrid w:type="lines" w:linePitch="435" w:charSpace="0"/>
        </w:sectPr>
      </w:pPr>
    </w:p>
    <w:p>
      <w:pPr>
        <w:ind w:firstLine="0"/>
        <w:outlineLvl w:val="0"/>
        <w:rPr>
          <w:rFonts w:eastAsia="方正黑体_GBK"/>
          <w:szCs w:val="32"/>
        </w:rPr>
      </w:pPr>
      <w:r>
        <w:rPr>
          <w:rFonts w:eastAsia="方正黑体_GBK"/>
          <w:szCs w:val="32"/>
        </w:rPr>
        <w:t>附件1</w:t>
      </w:r>
    </w:p>
    <w:p>
      <w:pPr>
        <w:pStyle w:val="21"/>
        <w:keepNext w:val="0"/>
        <w:keepLines w:val="0"/>
        <w:pageBreakBefore w:val="0"/>
        <w:widowControl w:val="0"/>
        <w:kinsoku/>
        <w:wordWrap/>
        <w:overflowPunct/>
        <w:topLinePunct w:val="0"/>
        <w:autoSpaceDE w:val="0"/>
        <w:autoSpaceDN w:val="0"/>
        <w:bidi w:val="0"/>
        <w:adjustRightInd w:val="0"/>
        <w:snapToGrid w:val="0"/>
        <w:spacing w:line="560" w:lineRule="exact"/>
        <w:textAlignment w:val="auto"/>
        <w:rPr>
          <w:szCs w:val="44"/>
        </w:rPr>
      </w:pPr>
      <w:r>
        <w:rPr>
          <w:rFonts w:hint="eastAsia"/>
          <w:szCs w:val="44"/>
        </w:rPr>
        <w:t>长三角生态绿色一体化发展示范区</w:t>
      </w:r>
    </w:p>
    <w:p>
      <w:pPr>
        <w:pStyle w:val="21"/>
        <w:keepNext w:val="0"/>
        <w:keepLines w:val="0"/>
        <w:pageBreakBefore w:val="0"/>
        <w:widowControl w:val="0"/>
        <w:kinsoku/>
        <w:wordWrap/>
        <w:overflowPunct/>
        <w:topLinePunct w:val="0"/>
        <w:autoSpaceDE w:val="0"/>
        <w:autoSpaceDN w:val="0"/>
        <w:bidi w:val="0"/>
        <w:adjustRightInd w:val="0"/>
        <w:snapToGrid w:val="0"/>
        <w:spacing w:line="560" w:lineRule="exact"/>
        <w:textAlignment w:val="auto"/>
        <w:rPr>
          <w:szCs w:val="44"/>
        </w:rPr>
      </w:pPr>
      <w:r>
        <w:rPr>
          <w:rFonts w:hint="eastAsia"/>
          <w:szCs w:val="44"/>
        </w:rPr>
        <w:t>绿色发展领军企业评价指标体系</w:t>
      </w:r>
    </w:p>
    <w:tbl>
      <w:tblPr>
        <w:tblStyle w:val="13"/>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437"/>
        <w:gridCol w:w="1541"/>
        <w:gridCol w:w="2287"/>
        <w:gridCol w:w="739"/>
        <w:gridCol w:w="1572"/>
        <w:gridCol w:w="87"/>
        <w:gridCol w:w="1275"/>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一级指标</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序号</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二级指标</w:t>
            </w:r>
          </w:p>
        </w:tc>
        <w:tc>
          <w:tcPr>
            <w:tcW w:w="3643"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是否具备申报条件（在□内打√）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基本条件</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1</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snapToGrid/>
                <w:color w:val="auto"/>
                <w:kern w:val="2"/>
                <w:sz w:val="21"/>
                <w:szCs w:val="21"/>
              </w:rPr>
              <w:t>生产工艺装备及产品符合产业政策要求。</w:t>
            </w:r>
          </w:p>
        </w:tc>
        <w:tc>
          <w:tcPr>
            <w:tcW w:w="165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198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2</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snapToGrid/>
                <w:color w:val="auto"/>
                <w:kern w:val="2"/>
                <w:sz w:val="21"/>
                <w:szCs w:val="21"/>
              </w:rPr>
              <w:t>按照《环境管理体系要求及使用指南》（GB/T24001—2016/ISO14001:2015），建立实施企业环境管理体系。属于实施强制性清洁生产审核和环境信息披露范围的企业，按照相关规定开展工作。</w:t>
            </w:r>
          </w:p>
        </w:tc>
        <w:tc>
          <w:tcPr>
            <w:tcW w:w="165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198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3</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Fonts w:hint="default" w:ascii="Times New Roman" w:hAnsi="Times New Roman" w:eastAsia="方正仿宋_GBK" w:cs="Times New Roman"/>
                <w:b w:val="0"/>
                <w:bCs w:val="0"/>
                <w:sz w:val="21"/>
                <w:szCs w:val="21"/>
              </w:rPr>
              <w:t>配备污染物处理设施并保持正常运转、污染物稳定达标排放，且满足区域排放总量控制要求。需安装在线监测设备的企业，应按照相关管理要求安装并与生态环境部门联网。</w:t>
            </w:r>
          </w:p>
        </w:tc>
        <w:tc>
          <w:tcPr>
            <w:tcW w:w="165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198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4</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Fonts w:hint="default" w:ascii="Times New Roman" w:hAnsi="Times New Roman" w:eastAsia="方正仿宋_GBK" w:cs="Times New Roman"/>
                <w:b w:val="0"/>
                <w:bCs w:val="0"/>
                <w:sz w:val="21"/>
                <w:szCs w:val="21"/>
              </w:rPr>
              <w:t>生态环境守法状况良好，3年内未发生生态环境违法行为，未发生突发环境事件，不存在环境有效信访问题或被媒体曝光。</w:t>
            </w:r>
          </w:p>
        </w:tc>
        <w:tc>
          <w:tcPr>
            <w:tcW w:w="165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198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5</w:t>
            </w:r>
          </w:p>
        </w:tc>
        <w:tc>
          <w:tcPr>
            <w:tcW w:w="4567"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Fonts w:hint="default" w:ascii="Times New Roman" w:hAnsi="Times New Roman" w:eastAsia="方正仿宋_GBK" w:cs="Times New Roman"/>
                <w:b w:val="0"/>
                <w:bCs w:val="0"/>
                <w:sz w:val="21"/>
                <w:szCs w:val="21"/>
              </w:rPr>
              <w:t>近三年无不良信用记录，未被列为失信被执行人。</w:t>
            </w:r>
          </w:p>
        </w:tc>
        <w:tc>
          <w:tcPr>
            <w:tcW w:w="165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198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eastAsia" w:ascii="方正楷体_GBK" w:hAnsi="方正楷体_GBK" w:eastAsia="方正楷体_GBK" w:cs="方正楷体_GBK"/>
                <w:b w:val="0"/>
                <w:bCs w:val="0"/>
                <w:sz w:val="21"/>
                <w:szCs w:val="21"/>
              </w:rPr>
            </w:pPr>
            <w:r>
              <w:rPr>
                <w:rStyle w:val="25"/>
                <w:rFonts w:hint="eastAsia" w:ascii="方正楷体_GBK" w:hAnsi="方正楷体_GBK" w:eastAsia="方正楷体_GBK" w:cs="方正楷体_GBK"/>
                <w:b w:val="0"/>
                <w:bCs w:val="0"/>
                <w:color w:val="auto"/>
                <w:sz w:val="21"/>
                <w:szCs w:val="21"/>
              </w:rPr>
              <w:t>一级指标</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eastAsia" w:ascii="方正楷体_GBK" w:hAnsi="方正楷体_GBK" w:eastAsia="方正楷体_GBK" w:cs="方正楷体_GBK"/>
                <w:b w:val="0"/>
                <w:bCs w:val="0"/>
                <w:sz w:val="21"/>
                <w:szCs w:val="21"/>
              </w:rPr>
            </w:pPr>
            <w:r>
              <w:rPr>
                <w:rStyle w:val="25"/>
                <w:rFonts w:hint="eastAsia" w:ascii="方正楷体_GBK" w:hAnsi="方正楷体_GBK" w:eastAsia="方正楷体_GBK" w:cs="方正楷体_GBK"/>
                <w:b w:val="0"/>
                <w:bCs w:val="0"/>
                <w:color w:val="auto"/>
                <w:sz w:val="21"/>
                <w:szCs w:val="21"/>
              </w:rPr>
              <w:t>序号</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eastAsia" w:ascii="方正楷体_GBK" w:hAnsi="方正楷体_GBK" w:eastAsia="方正楷体_GBK" w:cs="方正楷体_GBK"/>
                <w:b w:val="0"/>
                <w:bCs w:val="0"/>
                <w:sz w:val="21"/>
                <w:szCs w:val="21"/>
              </w:rPr>
            </w:pPr>
            <w:r>
              <w:rPr>
                <w:rStyle w:val="25"/>
                <w:rFonts w:hint="eastAsia" w:ascii="方正楷体_GBK" w:hAnsi="方正楷体_GBK" w:eastAsia="方正楷体_GBK" w:cs="方正楷体_GBK"/>
                <w:b w:val="0"/>
                <w:bCs w:val="0"/>
                <w:color w:val="auto"/>
                <w:sz w:val="21"/>
                <w:szCs w:val="21"/>
              </w:rPr>
              <w:t>二级指标</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eastAsia" w:ascii="方正楷体_GBK" w:hAnsi="方正楷体_GBK" w:eastAsia="方正楷体_GBK" w:cs="方正楷体_GBK"/>
                <w:b w:val="0"/>
                <w:bCs w:val="0"/>
                <w:sz w:val="21"/>
                <w:szCs w:val="21"/>
              </w:rPr>
            </w:pPr>
            <w:r>
              <w:rPr>
                <w:rStyle w:val="25"/>
                <w:rFonts w:hint="eastAsia" w:ascii="方正楷体_GBK" w:hAnsi="方正楷体_GBK" w:eastAsia="方正楷体_GBK" w:cs="方正楷体_GBK"/>
                <w:b w:val="0"/>
                <w:bCs w:val="0"/>
                <w:color w:val="auto"/>
                <w:sz w:val="21"/>
                <w:szCs w:val="21"/>
              </w:rPr>
              <w:t>评分标准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eastAsia" w:ascii="方正楷体_GBK" w:hAnsi="方正楷体_GBK" w:eastAsia="方正楷体_GBK" w:cs="方正楷体_GBK"/>
                <w:b w:val="0"/>
                <w:bCs w:val="0"/>
                <w:sz w:val="21"/>
                <w:szCs w:val="21"/>
              </w:rPr>
            </w:pPr>
            <w:r>
              <w:rPr>
                <w:rStyle w:val="25"/>
                <w:rFonts w:hint="eastAsia" w:ascii="方正楷体_GBK" w:hAnsi="方正楷体_GBK" w:eastAsia="方正楷体_GBK" w:cs="方正楷体_GBK"/>
                <w:b w:val="0"/>
                <w:bCs w:val="0"/>
                <w:color w:val="auto"/>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工艺装备</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生产工艺水平</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lang w:bidi="ar"/>
              </w:rPr>
              <w:t>企业没有采用国家限制、淘汰和禁止类生产工艺，对照行业清洁生产评价指标体系、团体标准等相关标准，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生产工艺水平达到行业国际领先水平，得10分；达到国内先进水平，得6分。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2</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通用装备运行效率</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企业采用的通用装备及其系统的实际运行效率、主要运行参数应符合该设备经济运行的标准要求。</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通用装备运行效率达到行业国际领先水平，得10分；达到国内先进水平，得6分。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资源集约</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3</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单位产值综合能耗</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企业单位产值单位综合能耗低，</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对照行业清洁生产评价指标体系、产业能效指南等相关标准，</w:t>
            </w:r>
            <w:r>
              <w:rPr>
                <w:rStyle w:val="25"/>
                <w:rFonts w:hint="default" w:ascii="Times New Roman" w:hAnsi="Times New Roman" w:eastAsia="方正仿宋_GBK" w:cs="Times New Roman"/>
                <w:b w:val="0"/>
                <w:bCs w:val="0"/>
                <w:snapToGrid/>
                <w:color w:val="auto"/>
                <w:kern w:val="2"/>
                <w:sz w:val="21"/>
                <w:szCs w:val="21"/>
              </w:rPr>
              <w:t>单位产值综合能耗达到行业国际领先水平，得10分；达到国内先进水平，得6分。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4</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napToGrid/>
                <w:kern w:val="2"/>
                <w:sz w:val="21"/>
                <w:szCs w:val="21"/>
              </w:rPr>
            </w:pPr>
            <w:r>
              <w:rPr>
                <w:rFonts w:hint="default" w:ascii="Times New Roman" w:hAnsi="Times New Roman" w:eastAsia="方正仿宋_GBK" w:cs="Times New Roman"/>
                <w:b w:val="0"/>
                <w:bCs w:val="0"/>
                <w:snapToGrid/>
                <w:kern w:val="2"/>
                <w:sz w:val="21"/>
                <w:szCs w:val="21"/>
              </w:rPr>
              <w:t>单位产值用新水量</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采用节水器具和设备，生产用水满足国家对本行业用水定额要求。</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单位产值</w:t>
            </w:r>
            <w:r>
              <w:rPr>
                <w:rFonts w:hint="default" w:ascii="Times New Roman" w:hAnsi="Times New Roman" w:eastAsia="方正仿宋_GBK" w:cs="Times New Roman"/>
                <w:b w:val="0"/>
                <w:bCs w:val="0"/>
                <w:snapToGrid/>
                <w:kern w:val="2"/>
                <w:sz w:val="21"/>
                <w:szCs w:val="21"/>
              </w:rPr>
              <w:t>用新水量</w:t>
            </w:r>
            <w:r>
              <w:rPr>
                <w:rStyle w:val="25"/>
                <w:rFonts w:hint="default" w:ascii="Times New Roman" w:hAnsi="Times New Roman" w:eastAsia="方正仿宋_GBK" w:cs="Times New Roman"/>
                <w:b w:val="0"/>
                <w:bCs w:val="0"/>
                <w:snapToGrid/>
                <w:color w:val="auto"/>
                <w:kern w:val="2"/>
                <w:sz w:val="21"/>
                <w:szCs w:val="21"/>
              </w:rPr>
              <w:t>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5</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土地产出率</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对照行业清洁生产评价指标体系、产业用地指南等相关标准，</w:t>
            </w:r>
            <w:r>
              <w:rPr>
                <w:rStyle w:val="25"/>
                <w:rFonts w:hint="default" w:ascii="Times New Roman" w:hAnsi="Times New Roman" w:eastAsia="方正仿宋_GBK" w:cs="Times New Roman"/>
                <w:b w:val="0"/>
                <w:bCs w:val="0"/>
                <w:snapToGrid/>
                <w:color w:val="auto"/>
                <w:kern w:val="2"/>
                <w:sz w:val="21"/>
                <w:szCs w:val="21"/>
              </w:rPr>
              <w:t>土地产出率达到行业国际领先水平，得5分；达到国内先进水平，得3分。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循环利用</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6</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Fonts w:hint="default" w:ascii="Times New Roman" w:hAnsi="Times New Roman" w:eastAsia="方正仿宋_GBK" w:cs="Times New Roman"/>
                <w:b w:val="0"/>
                <w:bCs w:val="0"/>
                <w:sz w:val="21"/>
                <w:szCs w:val="21"/>
              </w:rPr>
              <w:t>产品可回收利用率</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spacing w:val="-6"/>
                <w:kern w:val="2"/>
                <w:sz w:val="21"/>
                <w:szCs w:val="21"/>
              </w:rPr>
            </w:pPr>
            <w:r>
              <w:rPr>
                <w:rStyle w:val="25"/>
                <w:rFonts w:hint="default" w:ascii="Times New Roman" w:hAnsi="Times New Roman" w:eastAsia="方正仿宋_GBK" w:cs="Times New Roman"/>
                <w:b w:val="0"/>
                <w:bCs w:val="0"/>
                <w:snapToGrid/>
                <w:color w:val="auto"/>
                <w:kern w:val="2"/>
                <w:sz w:val="21"/>
                <w:szCs w:val="21"/>
              </w:rPr>
              <w:t>企业使用回收材料、可回收原料，且满足国家对本行业标准要求，</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产品可回收利用率达到行业国际领先水平，得10分；达到国内先进水平，得6分。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7</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有害物质使用</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产品（包括原料和辅料）采用无毒、无害或低毒、低害原料替代毒性大、危害严重原料，得5分；反之不得分。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8</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固体废物资源化综合利用</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固体废物资源化综合利用达到行业国际领先水平，得10分；达到国内先进水平，得6分。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减污降碳</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9</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水污染物排放强度</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水污染物排放应低于国家、行业及地方标准，满足区域排放总量控制要求，</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主要水污染物排放强度达到行业国际领先水平，得10分；达到国内先进水平，得6分。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10</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大气污染物排放强度</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大气污染物排放应低于国家、行业及地方标准，满足区域排放总量控制要求，</w:t>
            </w:r>
            <w:r>
              <w:rPr>
                <w:rStyle w:val="25"/>
                <w:rFonts w:hint="default" w:ascii="Times New Roman" w:hAnsi="Times New Roman" w:eastAsia="方正仿宋_GBK" w:cs="Times New Roman"/>
                <w:b w:val="0"/>
                <w:bCs w:val="0"/>
                <w:snapToGrid/>
                <w:color w:val="auto"/>
                <w:kern w:val="2"/>
                <w:sz w:val="21"/>
                <w:szCs w:val="21"/>
                <w:lang w:bidi="ar"/>
              </w:rPr>
              <w:t>对照行业清洁生产评价指标体系、团体标准等相关标准，</w:t>
            </w:r>
            <w:r>
              <w:rPr>
                <w:rStyle w:val="25"/>
                <w:rFonts w:hint="default" w:ascii="Times New Roman" w:hAnsi="Times New Roman" w:eastAsia="方正仿宋_GBK" w:cs="Times New Roman"/>
                <w:b w:val="0"/>
                <w:bCs w:val="0"/>
                <w:snapToGrid/>
                <w:color w:val="auto"/>
                <w:kern w:val="2"/>
                <w:sz w:val="21"/>
                <w:szCs w:val="21"/>
              </w:rPr>
              <w:t>主要大气污染物排放强度行业国际领先水平，得10分；达到国内先进水平，得6分。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11</w:t>
            </w:r>
          </w:p>
        </w:tc>
        <w:tc>
          <w:tcPr>
            <w:tcW w:w="1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单位产品碳排放</w:t>
            </w:r>
          </w:p>
        </w:tc>
        <w:tc>
          <w:tcPr>
            <w:tcW w:w="5960"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单位产品碳排放指标</w:t>
            </w:r>
            <w:r>
              <w:rPr>
                <w:rStyle w:val="25"/>
                <w:rFonts w:hint="default" w:ascii="Times New Roman" w:hAnsi="Times New Roman" w:eastAsia="方正仿宋_GBK" w:cs="Times New Roman"/>
                <w:b w:val="0"/>
                <w:bCs w:val="0"/>
                <w:snapToGrid/>
                <w:color w:val="auto"/>
                <w:kern w:val="2"/>
                <w:sz w:val="21"/>
                <w:szCs w:val="21"/>
                <w:lang w:bidi="ar"/>
              </w:rPr>
              <w:t>位于行业前5%水平，得10分；位于前20%的，得6分。</w:t>
            </w:r>
          </w:p>
        </w:tc>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一级指标</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序号</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二级指标</w:t>
            </w:r>
          </w:p>
        </w:tc>
        <w:tc>
          <w:tcPr>
            <w:tcW w:w="4382"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val="0"/>
                <w:bCs w:val="0"/>
                <w:color w:val="auto"/>
                <w:sz w:val="21"/>
                <w:szCs w:val="21"/>
              </w:rPr>
            </w:pPr>
            <w:r>
              <w:rPr>
                <w:rStyle w:val="25"/>
                <w:rFonts w:hint="eastAsia" w:ascii="方正楷体_GBK" w:hAnsi="方正楷体_GBK" w:eastAsia="方正楷体_GBK" w:cs="方正楷体_GBK"/>
                <w:b w:val="0"/>
                <w:bCs w:val="0"/>
                <w:color w:val="auto"/>
                <w:sz w:val="21"/>
                <w:szCs w:val="21"/>
              </w:rPr>
              <w:t>是否具备，每项满分1分（在□内打√）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restart"/>
            <w:tcBorders>
              <w:top w:val="single" w:color="auto" w:sz="4" w:space="0"/>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加分指标</w:t>
            </w: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企业加强碳管理，主动建立科学合理的温室气体排放统计制度、制定企业年度自主减排计划或积极参与碳标识、碳审计、碳认证等活动。</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2</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主动编制、发布企业社会责任（CSR）报告或环境、社会和公司治理（ESG）报告</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3</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企业实施自愿减排工程</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4</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企业完成污水输送明管化、雨水管网明渠化改造</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5</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完成排污权跨省域交易</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出让方□  受让方□</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6</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工业产品绿色设计示范企业</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7</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绿色工厂</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8</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绿色供应链管理企业</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9</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绿色设计产品</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10</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无废工厂（集团）</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11</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重点用水企业水效“领跑者”</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12</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再生资源综合利用行业规范条件企业</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675" w:type="dxa"/>
            <w:vMerge w:val="continue"/>
            <w:tcBorders>
              <w:left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43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13</w:t>
            </w:r>
          </w:p>
        </w:tc>
        <w:tc>
          <w:tcPr>
            <w:tcW w:w="382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重点用能行业能效“领跑者”企业</w:t>
            </w:r>
          </w:p>
        </w:tc>
        <w:tc>
          <w:tcPr>
            <w:tcW w:w="23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 xml:space="preserve">国家□  省□  市□ </w:t>
            </w:r>
          </w:p>
        </w:tc>
        <w:tc>
          <w:tcPr>
            <w:tcW w:w="207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49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总得分</w:t>
            </w:r>
          </w:p>
        </w:tc>
        <w:tc>
          <w:tcPr>
            <w:tcW w:w="4382"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p>
        </w:tc>
      </w:tr>
    </w:tbl>
    <w:p>
      <w:pPr>
        <w:rPr>
          <w:rFonts w:eastAsia="方正楷体_GBK"/>
          <w:b/>
        </w:rPr>
      </w:pPr>
      <w:r>
        <w:rPr>
          <w:rFonts w:eastAsia="方正楷体_GBK"/>
          <w:b/>
        </w:rPr>
        <w:br w:type="page"/>
      </w:r>
    </w:p>
    <w:p/>
    <w:p>
      <w:pPr>
        <w:adjustRightInd w:val="0"/>
        <w:spacing w:before="156" w:beforeLines="50" w:after="156" w:afterLines="50" w:line="590" w:lineRule="exact"/>
        <w:ind w:firstLine="0"/>
        <w:jc w:val="center"/>
        <w:rPr>
          <w:rFonts w:eastAsia="方正小标宋_GBK" w:cs="宋体"/>
          <w:snapToGrid/>
          <w:color w:val="000000"/>
          <w:spacing w:val="-4"/>
          <w:sz w:val="44"/>
          <w:szCs w:val="44"/>
        </w:rPr>
      </w:pPr>
      <w:r>
        <w:rPr>
          <w:rFonts w:hint="eastAsia" w:eastAsia="方正小标宋_GBK" w:cs="宋体"/>
          <w:snapToGrid/>
          <w:color w:val="000000"/>
          <w:spacing w:val="-4"/>
          <w:sz w:val="44"/>
          <w:szCs w:val="44"/>
        </w:rPr>
        <w:t>指</w:t>
      </w:r>
      <w:r>
        <w:rPr>
          <w:rFonts w:hint="eastAsia" w:eastAsia="方正小标宋_GBK" w:cs="宋体"/>
          <w:snapToGrid/>
          <w:color w:val="000000"/>
          <w:spacing w:val="-4"/>
          <w:sz w:val="44"/>
          <w:szCs w:val="44"/>
          <w:lang w:val="en-US" w:eastAsia="zh-CN"/>
        </w:rPr>
        <w:t xml:space="preserve"> </w:t>
      </w:r>
      <w:r>
        <w:rPr>
          <w:rFonts w:hint="eastAsia" w:eastAsia="方正小标宋_GBK" w:cs="宋体"/>
          <w:snapToGrid/>
          <w:color w:val="000000"/>
          <w:spacing w:val="-4"/>
          <w:sz w:val="44"/>
          <w:szCs w:val="44"/>
        </w:rPr>
        <w:t>标</w:t>
      </w:r>
      <w:r>
        <w:rPr>
          <w:rFonts w:hint="eastAsia" w:eastAsia="方正小标宋_GBK" w:cs="宋体"/>
          <w:snapToGrid/>
          <w:color w:val="000000"/>
          <w:spacing w:val="-4"/>
          <w:sz w:val="44"/>
          <w:szCs w:val="44"/>
          <w:lang w:val="en-US" w:eastAsia="zh-CN"/>
        </w:rPr>
        <w:t xml:space="preserve"> </w:t>
      </w:r>
      <w:r>
        <w:rPr>
          <w:rFonts w:hint="eastAsia" w:eastAsia="方正小标宋_GBK" w:cs="宋体"/>
          <w:snapToGrid/>
          <w:color w:val="000000"/>
          <w:spacing w:val="-4"/>
          <w:sz w:val="44"/>
          <w:szCs w:val="44"/>
        </w:rPr>
        <w:t>解</w:t>
      </w:r>
      <w:r>
        <w:rPr>
          <w:rFonts w:hint="eastAsia" w:eastAsia="方正小标宋_GBK" w:cs="宋体"/>
          <w:snapToGrid/>
          <w:color w:val="000000"/>
          <w:spacing w:val="-4"/>
          <w:sz w:val="44"/>
          <w:szCs w:val="44"/>
          <w:lang w:val="en-US" w:eastAsia="zh-CN"/>
        </w:rPr>
        <w:t xml:space="preserve"> </w:t>
      </w:r>
      <w:r>
        <w:rPr>
          <w:rFonts w:hint="eastAsia" w:eastAsia="方正小标宋_GBK" w:cs="宋体"/>
          <w:snapToGrid/>
          <w:color w:val="000000"/>
          <w:spacing w:val="-4"/>
          <w:sz w:val="44"/>
          <w:szCs w:val="44"/>
        </w:rPr>
        <w:t>释</w:t>
      </w:r>
    </w:p>
    <w:p>
      <w:pPr>
        <w:adjustRightInd w:val="0"/>
        <w:rPr>
          <w:rFonts w:eastAsia="方正黑体_GBK" w:cs="方正黑体_GBK"/>
        </w:rPr>
      </w:pPr>
      <w:r>
        <w:rPr>
          <w:rFonts w:hint="eastAsia" w:eastAsia="方正黑体_GBK" w:cs="方正黑体_GBK"/>
        </w:rPr>
        <w:t>一、评分指标</w:t>
      </w:r>
    </w:p>
    <w:p>
      <w:pPr>
        <w:tabs>
          <w:tab w:val="left" w:pos="0"/>
        </w:tabs>
        <w:adjustRightInd w:val="0"/>
        <w:ind w:left="640" w:leftChars="200" w:firstLine="0"/>
        <w:rPr>
          <w:rFonts w:eastAsia="方正楷体_GBK" w:cs="方正楷体_GBK"/>
          <w:b/>
        </w:rPr>
      </w:pPr>
      <w:r>
        <w:rPr>
          <w:rFonts w:hint="eastAsia" w:eastAsia="方正楷体_GBK" w:cs="方正楷体_GBK"/>
          <w:b/>
        </w:rPr>
        <w:t>（一）工艺装备</w:t>
      </w:r>
    </w:p>
    <w:p>
      <w:pPr>
        <w:adjustRightInd w:val="0"/>
        <w:ind w:firstLine="640" w:firstLineChars="200"/>
        <w:rPr>
          <w:szCs w:val="32"/>
        </w:rPr>
      </w:pPr>
      <w:r>
        <w:rPr>
          <w:rFonts w:hint="eastAsia"/>
          <w:szCs w:val="32"/>
        </w:rPr>
        <w:t>1.生产工艺水平</w:t>
      </w:r>
    </w:p>
    <w:p>
      <w:pPr>
        <w:ind w:firstLine="640" w:firstLineChars="200"/>
        <w:rPr>
          <w:szCs w:val="32"/>
        </w:rPr>
      </w:pPr>
      <w:r>
        <w:rPr>
          <w:rFonts w:hint="eastAsia"/>
          <w:szCs w:val="32"/>
        </w:rPr>
        <w:t>指标解释：该指标主要评估企业生产工艺的先进水平。要求企业主要生产设备和工艺符合行业先进工艺技术设备标准。</w:t>
      </w:r>
    </w:p>
    <w:p>
      <w:pPr>
        <w:ind w:firstLine="640" w:firstLineChars="200"/>
        <w:rPr>
          <w:szCs w:val="32"/>
        </w:rPr>
      </w:pPr>
      <w:r>
        <w:rPr>
          <w:rFonts w:hint="eastAsia"/>
          <w:szCs w:val="32"/>
        </w:rPr>
        <w:t>数据来源：企业申报材料。</w:t>
      </w:r>
    </w:p>
    <w:p>
      <w:pPr>
        <w:adjustRightInd w:val="0"/>
        <w:ind w:firstLine="640" w:firstLineChars="200"/>
        <w:rPr>
          <w:szCs w:val="32"/>
        </w:rPr>
      </w:pPr>
      <w:r>
        <w:rPr>
          <w:rFonts w:hint="eastAsia"/>
          <w:szCs w:val="32"/>
        </w:rPr>
        <w:t>2.通用装备运行效率</w:t>
      </w:r>
    </w:p>
    <w:p>
      <w:pPr>
        <w:ind w:firstLine="640" w:firstLineChars="200"/>
        <w:rPr>
          <w:szCs w:val="32"/>
        </w:rPr>
      </w:pPr>
      <w:r>
        <w:rPr>
          <w:rFonts w:hint="eastAsia"/>
          <w:szCs w:val="32"/>
        </w:rPr>
        <w:t>指标解释：通用装备运行效率是指在一定时间内，通用装备的实际产量与设计产量之比。该指标用于表征通用装备的生产效率和运行状态。企业采用的通用装备及其系统实际运行效率、主要运行参数应符合该设备经济运行的标准要求。</w:t>
      </w:r>
    </w:p>
    <w:p>
      <w:pPr>
        <w:ind w:firstLine="640" w:firstLineChars="200"/>
        <w:rPr>
          <w:szCs w:val="32"/>
        </w:rPr>
      </w:pPr>
      <w:r>
        <w:rPr>
          <w:rFonts w:hint="eastAsia"/>
          <w:szCs w:val="32"/>
        </w:rPr>
        <w:t>数据来源：企业申报材料。</w:t>
      </w:r>
    </w:p>
    <w:p>
      <w:pPr>
        <w:tabs>
          <w:tab w:val="left" w:pos="0"/>
        </w:tabs>
        <w:adjustRightInd w:val="0"/>
        <w:ind w:left="640" w:leftChars="200" w:firstLine="0"/>
        <w:rPr>
          <w:rFonts w:eastAsia="方正楷体_GBK" w:cs="方正楷体_GBK"/>
          <w:b/>
        </w:rPr>
      </w:pPr>
      <w:r>
        <w:rPr>
          <w:rFonts w:hint="eastAsia" w:eastAsia="方正楷体_GBK" w:cs="方正楷体_GBK"/>
          <w:b/>
        </w:rPr>
        <w:t>（二）资源集约</w:t>
      </w:r>
    </w:p>
    <w:p>
      <w:pPr>
        <w:adjustRightInd w:val="0"/>
        <w:ind w:firstLine="640" w:firstLineChars="200"/>
        <w:rPr>
          <w:szCs w:val="32"/>
        </w:rPr>
      </w:pPr>
      <w:r>
        <w:rPr>
          <w:rFonts w:hint="eastAsia"/>
          <w:szCs w:val="32"/>
        </w:rPr>
        <w:t>3.单位产值综合能耗</w:t>
      </w:r>
    </w:p>
    <w:p>
      <w:pPr>
        <w:ind w:firstLine="640" w:firstLineChars="200"/>
        <w:rPr>
          <w:sz w:val="24"/>
          <w:szCs w:val="24"/>
        </w:rPr>
      </w:pPr>
      <w:r>
        <w:rPr>
          <w:rFonts w:hint="eastAsia"/>
          <w:szCs w:val="32"/>
        </w:rPr>
        <w:t>指标解释：</w:t>
      </w:r>
      <w:r>
        <w:rPr>
          <w:szCs w:val="32"/>
        </w:rPr>
        <w:t>单位产值综合能耗</w:t>
      </w:r>
      <w:r>
        <w:rPr>
          <w:rFonts w:hint="eastAsia"/>
          <w:szCs w:val="32"/>
        </w:rPr>
        <w:t>是指</w:t>
      </w:r>
      <w:r>
        <w:rPr>
          <w:szCs w:val="32"/>
        </w:rPr>
        <w:t>统计报告期内，综合能耗与用能单位总产值或增加值（可比价）的比值</w:t>
      </w:r>
      <w:r>
        <w:rPr>
          <w:rFonts w:hint="eastAsia"/>
          <w:szCs w:val="32"/>
        </w:rPr>
        <w:t>。</w:t>
      </w:r>
    </w:p>
    <w:p>
      <w:pPr>
        <w:ind w:firstLine="0"/>
        <w:rPr>
          <w:rFonts w:hint="eastAsia" w:hAnsi="Cambria Math"/>
          <w:sz w:val="24"/>
          <w:szCs w:val="24"/>
        </w:rPr>
      </w:pPr>
      <m:oMathPara>
        <m:oMathParaPr>
          <m:jc m:val="center"/>
        </m:oMathParaPr>
        <m:oMath>
          <m:r>
            <m:rPr>
              <m:sty m:val="p"/>
            </m:rPr>
            <w:rPr>
              <w:rFonts w:hint="eastAsia" w:ascii="Cambria Math" w:hAnsi="Cambria Math"/>
              <w:sz w:val="24"/>
              <w:szCs w:val="24"/>
            </w:rPr>
            <m:t>单位产值综合能耗（吨标煤</m:t>
          </m:r>
          <m:r>
            <m:rPr>
              <m:sty m:val="p"/>
            </m:rPr>
            <w:rPr>
              <w:rFonts w:ascii="Cambria Math" w:hAnsi="Cambria Math"/>
              <w:sz w:val="24"/>
              <w:szCs w:val="24"/>
            </w:rPr>
            <m:t>/</m:t>
          </m:r>
          <m:r>
            <m:rPr>
              <m:sty m:val="p"/>
            </m:rPr>
            <w:rPr>
              <w:rFonts w:hint="eastAsia" w:ascii="Cambria Math" w:hAnsi="Cambria Math"/>
              <w:sz w:val="24"/>
              <w:szCs w:val="24"/>
            </w:rPr>
            <m:t>万元）</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综合能源消耗量（吨标准煤）</m:t>
              </m:r>
              <m:ctrlPr>
                <w:rPr>
                  <w:rFonts w:ascii="Cambria Math" w:hAnsi="Cambria Math"/>
                  <w:sz w:val="24"/>
                  <w:szCs w:val="24"/>
                </w:rPr>
              </m:ctrlPr>
            </m:num>
            <m:den>
              <m:r>
                <m:rPr>
                  <m:sty m:val="p"/>
                </m:rPr>
                <w:rPr>
                  <w:rFonts w:hint="eastAsia" w:ascii="Cambria Math" w:hAnsi="Cambria Math"/>
                  <w:sz w:val="24"/>
                  <w:szCs w:val="24"/>
                </w:rPr>
                <m:t>工业总产值（万元）</m:t>
              </m:r>
              <m:ctrlPr>
                <w:rPr>
                  <w:rFonts w:ascii="Cambria Math" w:hAnsi="Cambria Math"/>
                  <w:sz w:val="24"/>
                  <w:szCs w:val="24"/>
                </w:rPr>
              </m:ctrlPr>
            </m:den>
          </m:f>
        </m:oMath>
      </m:oMathPara>
    </w:p>
    <w:p>
      <w:pPr>
        <w:ind w:firstLine="640" w:firstLineChars="200"/>
        <w:rPr>
          <w:szCs w:val="32"/>
        </w:rPr>
      </w:pPr>
      <w:r>
        <w:rPr>
          <w:rFonts w:hint="eastAsia"/>
          <w:szCs w:val="32"/>
        </w:rPr>
        <w:t>数据来源：工信部门、统计部门。</w:t>
      </w:r>
    </w:p>
    <w:p>
      <w:pPr>
        <w:adjustRightInd w:val="0"/>
        <w:ind w:firstLine="640" w:firstLineChars="200"/>
        <w:rPr>
          <w:szCs w:val="32"/>
        </w:rPr>
      </w:pPr>
      <w:r>
        <w:rPr>
          <w:rFonts w:hint="eastAsia"/>
          <w:szCs w:val="32"/>
        </w:rPr>
        <w:t>4.单位产值用新水量</w:t>
      </w:r>
    </w:p>
    <w:p>
      <w:pPr>
        <w:ind w:firstLine="640" w:firstLineChars="200"/>
        <w:rPr>
          <w:sz w:val="24"/>
          <w:szCs w:val="24"/>
        </w:rPr>
      </w:pPr>
      <w:r>
        <w:rPr>
          <w:rFonts w:hint="eastAsia"/>
          <w:szCs w:val="32"/>
        </w:rPr>
        <w:t>指标解释：单位</w:t>
      </w:r>
      <w:r>
        <w:rPr>
          <w:szCs w:val="32"/>
        </w:rPr>
        <w:t>产值</w:t>
      </w:r>
      <w:r>
        <w:rPr>
          <w:rFonts w:hint="eastAsia"/>
          <w:szCs w:val="32"/>
        </w:rPr>
        <w:t>用新水量</w:t>
      </w:r>
      <w:r>
        <w:rPr>
          <w:szCs w:val="32"/>
        </w:rPr>
        <w:t>指企业在生产过程中所消耗的</w:t>
      </w:r>
      <w:r>
        <w:rPr>
          <w:rFonts w:hint="eastAsia"/>
          <w:szCs w:val="32"/>
        </w:rPr>
        <w:t>新水</w:t>
      </w:r>
      <w:r>
        <w:rPr>
          <w:szCs w:val="32"/>
        </w:rPr>
        <w:t>量与</w:t>
      </w:r>
      <w:r>
        <w:rPr>
          <w:rFonts w:hint="eastAsia"/>
          <w:szCs w:val="32"/>
        </w:rPr>
        <w:t>工业</w:t>
      </w:r>
      <w:r>
        <w:rPr>
          <w:szCs w:val="32"/>
        </w:rPr>
        <w:t>总产值之间的比值</w:t>
      </w:r>
      <w:r>
        <w:rPr>
          <w:rFonts w:hint="eastAsia"/>
          <w:szCs w:val="32"/>
        </w:rPr>
        <w:t>。</w:t>
      </w:r>
    </w:p>
    <w:p>
      <w:pPr>
        <w:ind w:firstLine="0"/>
        <w:rPr>
          <w:rFonts w:hint="eastAsia" w:hAnsi="Cambria Math"/>
          <w:sz w:val="24"/>
          <w:szCs w:val="24"/>
        </w:rPr>
      </w:pPr>
      <m:oMathPara>
        <m:oMathParaPr>
          <m:jc m:val="center"/>
        </m:oMathParaPr>
        <m:oMath>
          <m:r>
            <m:rPr>
              <m:sty m:val="p"/>
            </m:rPr>
            <w:rPr>
              <w:rFonts w:hint="eastAsia" w:ascii="Cambria Math" w:hAnsi="Cambria Math"/>
              <w:sz w:val="24"/>
              <w:szCs w:val="24"/>
            </w:rPr>
            <m:t>企业单位产值用新水量（立方米</m:t>
          </m:r>
          <m:r>
            <m:rPr>
              <m:sty m:val="p"/>
            </m:rPr>
            <w:rPr>
              <w:rFonts w:ascii="Cambria Math" w:hAnsi="Cambria Math"/>
              <w:sz w:val="24"/>
              <w:szCs w:val="24"/>
            </w:rPr>
            <m:t>/</m:t>
          </m:r>
          <m:r>
            <m:rPr>
              <m:sty m:val="p"/>
            </m:rPr>
            <w:rPr>
              <w:rFonts w:hint="eastAsia" w:ascii="Cambria Math" w:hAnsi="Cambria Math"/>
              <w:sz w:val="24"/>
              <w:szCs w:val="24"/>
            </w:rPr>
            <m:t>万元）</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用新水量（立方米）</m:t>
              </m:r>
              <m:ctrlPr>
                <w:rPr>
                  <w:rFonts w:ascii="Cambria Math" w:hAnsi="Cambria Math"/>
                  <w:sz w:val="24"/>
                  <w:szCs w:val="24"/>
                </w:rPr>
              </m:ctrlPr>
            </m:num>
            <m:den>
              <m:r>
                <m:rPr>
                  <m:sty m:val="p"/>
                </m:rPr>
                <w:rPr>
                  <w:rFonts w:hint="eastAsia" w:ascii="Cambria Math" w:hAnsi="Cambria Math"/>
                  <w:sz w:val="24"/>
                  <w:szCs w:val="24"/>
                </w:rPr>
                <m:t>工业总产值（万元）</m:t>
              </m:r>
              <m:ctrlPr>
                <w:rPr>
                  <w:rFonts w:ascii="Cambria Math" w:hAnsi="Cambria Math"/>
                  <w:sz w:val="24"/>
                  <w:szCs w:val="24"/>
                </w:rPr>
              </m:ctrlPr>
            </m:den>
          </m:f>
        </m:oMath>
      </m:oMathPara>
    </w:p>
    <w:p>
      <w:pPr>
        <w:ind w:firstLine="640" w:firstLineChars="200"/>
        <w:rPr>
          <w:szCs w:val="32"/>
        </w:rPr>
      </w:pPr>
      <w:r>
        <w:rPr>
          <w:rFonts w:hint="eastAsia"/>
          <w:szCs w:val="32"/>
        </w:rPr>
        <w:t>数据来源：工信部门、统计部门。</w:t>
      </w:r>
    </w:p>
    <w:p>
      <w:pPr>
        <w:tabs>
          <w:tab w:val="left" w:pos="6542"/>
        </w:tabs>
        <w:adjustRightInd w:val="0"/>
        <w:ind w:firstLine="640" w:firstLineChars="200"/>
        <w:rPr>
          <w:szCs w:val="32"/>
        </w:rPr>
      </w:pPr>
      <w:r>
        <w:rPr>
          <w:rFonts w:hint="eastAsia"/>
          <w:szCs w:val="32"/>
        </w:rPr>
        <w:t>5.土地产出率</w:t>
      </w:r>
      <w:r>
        <w:rPr>
          <w:rFonts w:hint="eastAsia"/>
          <w:szCs w:val="32"/>
        </w:rPr>
        <w:tab/>
      </w:r>
    </w:p>
    <w:p>
      <w:pPr>
        <w:ind w:firstLine="640" w:firstLineChars="200"/>
        <w:rPr>
          <w:szCs w:val="32"/>
        </w:rPr>
      </w:pPr>
      <w:r>
        <w:rPr>
          <w:rFonts w:hint="eastAsia"/>
          <w:szCs w:val="32"/>
        </w:rPr>
        <w:t>指标解释：土地产出率通常指单位土地面积所能产生的经济价值，该指标用于表征企业土地利用效率。</w:t>
      </w:r>
    </w:p>
    <w:p>
      <w:pPr>
        <w:adjustRightInd w:val="0"/>
        <w:ind w:firstLine="480" w:firstLineChars="200"/>
        <w:rPr>
          <w:rFonts w:hint="eastAsia" w:hAnsi="Cambria Math"/>
          <w:sz w:val="24"/>
          <w:szCs w:val="24"/>
        </w:rPr>
      </w:pPr>
      <m:oMathPara>
        <m:oMathParaPr>
          <m:jc m:val="center"/>
        </m:oMathParaPr>
        <m:oMath>
          <m:r>
            <m:rPr>
              <m:sty m:val="p"/>
            </m:rPr>
            <w:rPr>
              <w:rFonts w:hint="eastAsia" w:ascii="Cambria Math" w:hAnsi="Cambria Math"/>
              <w:sz w:val="24"/>
              <w:szCs w:val="24"/>
            </w:rPr>
            <m:t>土地产出率（亿元</m:t>
          </m:r>
          <m:r>
            <m:rPr>
              <m:sty m:val="p"/>
            </m:rPr>
            <w:rPr>
              <w:rFonts w:ascii="Cambria Math" w:hAnsi="Cambria Math"/>
              <w:sz w:val="24"/>
              <w:szCs w:val="24"/>
            </w:rPr>
            <m:t>/</m:t>
          </m:r>
          <m:r>
            <m:rPr>
              <m:sty m:val="p"/>
            </m:rPr>
            <w:rPr>
              <w:rFonts w:hint="eastAsia" w:ascii="Cambria Math" w:hAnsi="Cambria Math"/>
              <w:sz w:val="24"/>
              <w:szCs w:val="24"/>
            </w:rPr>
            <m:t>平方公里）</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项目主营业务收入（亿元）</m:t>
              </m:r>
              <m:ctrlPr>
                <w:rPr>
                  <w:rFonts w:ascii="Cambria Math" w:hAnsi="Cambria Math"/>
                  <w:sz w:val="24"/>
                  <w:szCs w:val="24"/>
                </w:rPr>
              </m:ctrlPr>
            </m:num>
            <m:den>
              <m:r>
                <m:rPr>
                  <m:sty m:val="p"/>
                </m:rPr>
                <w:rPr>
                  <w:rFonts w:hint="eastAsia" w:ascii="Cambria Math" w:hAnsi="Cambria Math"/>
                  <w:sz w:val="24"/>
                  <w:szCs w:val="24"/>
                </w:rPr>
                <m:t>项目总用地面积（平方公里）</m:t>
              </m:r>
              <m:ctrlPr>
                <w:rPr>
                  <w:rFonts w:ascii="Cambria Math" w:hAnsi="Cambria Math"/>
                  <w:sz w:val="24"/>
                  <w:szCs w:val="24"/>
                </w:rPr>
              </m:ctrlPr>
            </m:den>
          </m:f>
        </m:oMath>
      </m:oMathPara>
    </w:p>
    <w:p>
      <w:pPr>
        <w:ind w:firstLine="640" w:firstLineChars="200"/>
        <w:rPr>
          <w:szCs w:val="32"/>
        </w:rPr>
      </w:pPr>
      <w:r>
        <w:rPr>
          <w:rFonts w:hint="eastAsia"/>
          <w:szCs w:val="32"/>
        </w:rPr>
        <w:t>数据来源：自然资源和规划部门、统计部门。</w:t>
      </w:r>
    </w:p>
    <w:p>
      <w:pPr>
        <w:tabs>
          <w:tab w:val="left" w:pos="0"/>
        </w:tabs>
        <w:adjustRightInd w:val="0"/>
        <w:ind w:left="640" w:leftChars="200" w:firstLine="0"/>
        <w:rPr>
          <w:rFonts w:eastAsia="方正楷体_GBK" w:cs="方正楷体_GBK"/>
          <w:b/>
        </w:rPr>
      </w:pPr>
      <w:r>
        <w:rPr>
          <w:rFonts w:hint="eastAsia" w:eastAsia="方正楷体_GBK" w:cs="方正楷体_GBK"/>
          <w:b/>
        </w:rPr>
        <w:t>（三）循环利用</w:t>
      </w:r>
    </w:p>
    <w:p>
      <w:pPr>
        <w:adjustRightInd w:val="0"/>
        <w:ind w:firstLine="640" w:firstLineChars="200"/>
        <w:rPr>
          <w:szCs w:val="32"/>
        </w:rPr>
      </w:pPr>
      <w:r>
        <w:rPr>
          <w:rFonts w:hint="eastAsia"/>
          <w:szCs w:val="32"/>
        </w:rPr>
        <w:t>6.产品可回收利用率</w:t>
      </w:r>
    </w:p>
    <w:p>
      <w:pPr>
        <w:ind w:firstLine="640" w:firstLineChars="200"/>
        <w:rPr>
          <w:szCs w:val="32"/>
        </w:rPr>
      </w:pPr>
      <w:r>
        <w:rPr>
          <w:rFonts w:hint="eastAsia"/>
          <w:szCs w:val="32"/>
        </w:rPr>
        <w:t>指标解释：产品可回收利用率是指新产品中能够被回收利用部分（包括再使用部分、再生利用部分和能量回收部分）的质量之和占新产品质量的百分比。</w:t>
      </w:r>
    </w:p>
    <w:p>
      <w:pPr>
        <w:pStyle w:val="20"/>
        <w:ind w:firstLine="480"/>
        <w:jc w:val="center"/>
        <w:rPr>
          <w:rFonts w:ascii="方正仿宋_GBK" w:hAnsi="方正仿宋_GBK" w:eastAsia="方正仿宋_GBK" w:cs="方正仿宋_GBK"/>
          <w:sz w:val="24"/>
          <w:szCs w:val="24"/>
        </w:rPr>
      </w:pPr>
      <m:oMath>
        <m:r>
          <m:rPr>
            <m:sty m:val="p"/>
          </m:rPr>
          <w:rPr>
            <w:rFonts w:hint="eastAsia" w:ascii="Cambria Math" w:hAnsi="Cambria Math" w:eastAsia="方正仿宋_GBK" w:cs="方正仿宋_GBK"/>
            <w:sz w:val="24"/>
            <w:szCs w:val="24"/>
          </w:rPr>
          <m:t>产品可回收利用率=</m:t>
        </m:r>
        <m:f>
          <m:fPr>
            <m:ctrlPr>
              <w:rPr>
                <w:rFonts w:hint="eastAsia" w:ascii="Cambria Math" w:hAnsi="Cambria Math" w:eastAsia="方正仿宋_GBK" w:cs="方正仿宋_GBK"/>
                <w:sz w:val="24"/>
                <w:szCs w:val="24"/>
              </w:rPr>
            </m:ctrlPr>
          </m:fPr>
          <m:num>
            <m:r>
              <m:rPr>
                <m:sty m:val="p"/>
              </m:rPr>
              <w:rPr>
                <w:rFonts w:hint="eastAsia" w:ascii="Cambria Math" w:hAnsi="Cambria Math" w:eastAsia="方正仿宋_GBK" w:cs="方正仿宋_GBK"/>
                <w:sz w:val="24"/>
                <w:szCs w:val="24"/>
              </w:rPr>
              <m:t>可回收利用的产品质量（</m:t>
            </m:r>
            <m:r>
              <m:rPr>
                <m:sty m:val="p"/>
              </m:rPr>
              <w:rPr>
                <w:rFonts w:ascii="Cambria Math" w:hAnsi="Cambria Math" w:eastAsia="方正仿宋_GBK" w:cs="方正仿宋_GBK"/>
                <w:sz w:val="24"/>
                <w:szCs w:val="24"/>
              </w:rPr>
              <m:t>kg</m:t>
            </m:r>
            <m:r>
              <m:rPr>
                <m:sty m:val="p"/>
              </m:rPr>
              <w:rPr>
                <w:rFonts w:hint="eastAsia" w:ascii="Cambria Math" w:hAnsi="Cambria Math" w:eastAsia="方正仿宋_GBK" w:cs="方正仿宋_GBK"/>
                <w:sz w:val="24"/>
                <w:szCs w:val="24"/>
              </w:rPr>
              <m:t>）</m:t>
            </m:r>
            <m:ctrlPr>
              <w:rPr>
                <w:rFonts w:hint="eastAsia" w:ascii="Cambria Math" w:hAnsi="Cambria Math" w:eastAsia="方正仿宋_GBK" w:cs="方正仿宋_GBK"/>
                <w:sz w:val="24"/>
                <w:szCs w:val="24"/>
              </w:rPr>
            </m:ctrlPr>
          </m:num>
          <m:den>
            <m:r>
              <m:rPr>
                <m:sty m:val="p"/>
              </m:rPr>
              <w:rPr>
                <w:rFonts w:hint="eastAsia" w:ascii="Cambria Math" w:hAnsi="Cambria Math" w:eastAsia="方正仿宋_GBK" w:cs="方正仿宋_GBK"/>
                <w:sz w:val="24"/>
                <w:szCs w:val="24"/>
              </w:rPr>
              <m:t>产品总质量（</m:t>
            </m:r>
            <m:r>
              <m:rPr>
                <m:sty m:val="p"/>
              </m:rPr>
              <w:rPr>
                <w:rFonts w:ascii="Cambria Math" w:hAnsi="Cambria Math" w:eastAsia="方正仿宋_GBK" w:cs="方正仿宋_GBK"/>
                <w:sz w:val="24"/>
                <w:szCs w:val="24"/>
              </w:rPr>
              <m:t>kg</m:t>
            </m:r>
            <m:r>
              <m:rPr>
                <m:sty m:val="p"/>
              </m:rPr>
              <w:rPr>
                <w:rFonts w:hint="eastAsia" w:ascii="Cambria Math" w:hAnsi="Cambria Math" w:eastAsia="方正仿宋_GBK" w:cs="方正仿宋_GBK"/>
                <w:sz w:val="24"/>
                <w:szCs w:val="24"/>
              </w:rPr>
              <m:t>）</m:t>
            </m:r>
            <m:ctrlPr>
              <w:rPr>
                <w:rFonts w:hint="eastAsia" w:ascii="Cambria Math" w:hAnsi="Cambria Math" w:eastAsia="方正仿宋_GBK" w:cs="方正仿宋_GBK"/>
                <w:sz w:val="24"/>
                <w:szCs w:val="24"/>
              </w:rPr>
            </m:ctrlPr>
          </m:den>
        </m:f>
      </m:oMath>
      <w:r>
        <w:rPr>
          <w:rFonts w:hint="eastAsia" w:hAnsi="Cambria Math" w:eastAsia="方正仿宋_GBK" w:cs="方正仿宋_GBK"/>
          <w:sz w:val="24"/>
          <w:szCs w:val="24"/>
        </w:rPr>
        <w:t>×100%</w:t>
      </w:r>
    </w:p>
    <w:p>
      <w:pPr>
        <w:ind w:firstLine="640" w:firstLineChars="200"/>
        <w:rPr>
          <w:szCs w:val="32"/>
        </w:rPr>
      </w:pPr>
      <w:r>
        <w:rPr>
          <w:rFonts w:hint="eastAsia"/>
          <w:szCs w:val="32"/>
        </w:rPr>
        <w:t>数据来源：生态环境部门、工信部门。</w:t>
      </w:r>
    </w:p>
    <w:p>
      <w:pPr>
        <w:adjustRightInd w:val="0"/>
        <w:ind w:firstLine="640" w:firstLineChars="200"/>
        <w:rPr>
          <w:szCs w:val="32"/>
        </w:rPr>
      </w:pPr>
      <w:r>
        <w:rPr>
          <w:rFonts w:hint="eastAsia"/>
          <w:szCs w:val="32"/>
        </w:rPr>
        <w:t>7.有害物质使用</w:t>
      </w:r>
    </w:p>
    <w:p>
      <w:pPr>
        <w:ind w:firstLine="640" w:firstLineChars="200"/>
        <w:rPr>
          <w:szCs w:val="32"/>
        </w:rPr>
      </w:pPr>
      <w:r>
        <w:rPr>
          <w:rFonts w:hint="eastAsia"/>
          <w:szCs w:val="32"/>
        </w:rPr>
        <w:t>指标解释：有害物质使用是指在产品生命周期中，使用含有对人体健康或环境有害影响的物质或化合物的过程。企业在产品设计和生产过程中，应该尽量避免使用有害物质，或者将有害物质的使用降到最低限度。</w:t>
      </w:r>
    </w:p>
    <w:p>
      <w:pPr>
        <w:ind w:firstLine="640" w:firstLineChars="200"/>
        <w:rPr>
          <w:szCs w:val="32"/>
        </w:rPr>
      </w:pPr>
      <w:r>
        <w:rPr>
          <w:rFonts w:hint="eastAsia"/>
          <w:szCs w:val="32"/>
        </w:rPr>
        <w:t>数据来源：生态环境部门。</w:t>
      </w:r>
    </w:p>
    <w:p>
      <w:pPr>
        <w:adjustRightInd w:val="0"/>
        <w:ind w:firstLine="640" w:firstLineChars="200"/>
        <w:rPr>
          <w:szCs w:val="32"/>
        </w:rPr>
      </w:pPr>
      <w:r>
        <w:rPr>
          <w:rFonts w:hint="eastAsia"/>
          <w:szCs w:val="32"/>
        </w:rPr>
        <w:t>8.固体废物资源化综合利用</w:t>
      </w:r>
    </w:p>
    <w:p>
      <w:pPr>
        <w:ind w:firstLine="640" w:firstLineChars="200"/>
        <w:rPr>
          <w:szCs w:val="32"/>
        </w:rPr>
      </w:pPr>
      <w:r>
        <w:rPr>
          <w:rFonts w:hint="eastAsia"/>
          <w:szCs w:val="32"/>
        </w:rPr>
        <w:t>指标解释：固体废物资源化综合利用是指固体废物综合利用量占固体废物产生量（包括综合利用往年贮存量）的比值，该指标用于表征企业资源综合利用水平。该指标可促进固体废物资源综合利用，减少工业资源、能源消耗。</w:t>
      </w:r>
    </w:p>
    <w:p>
      <w:pPr>
        <w:ind w:firstLine="640" w:firstLineChars="200"/>
        <w:rPr>
          <w:szCs w:val="32"/>
        </w:rPr>
      </w:pPr>
      <w:r>
        <w:rPr>
          <w:rFonts w:hint="eastAsia"/>
          <w:szCs w:val="32"/>
        </w:rPr>
        <w:t>数据来源：生态环境部门。</w:t>
      </w:r>
    </w:p>
    <w:p>
      <w:pPr>
        <w:tabs>
          <w:tab w:val="left" w:pos="0"/>
        </w:tabs>
        <w:adjustRightInd w:val="0"/>
        <w:ind w:left="640" w:leftChars="200" w:firstLine="0"/>
        <w:rPr>
          <w:rFonts w:eastAsia="方正楷体_GBK" w:cs="方正楷体_GBK"/>
          <w:b/>
        </w:rPr>
      </w:pPr>
      <w:r>
        <w:rPr>
          <w:rFonts w:hint="eastAsia" w:eastAsia="方正楷体_GBK" w:cs="方正楷体_GBK"/>
          <w:b/>
        </w:rPr>
        <w:t>（四）减污降碳</w:t>
      </w:r>
    </w:p>
    <w:p>
      <w:pPr>
        <w:adjustRightInd w:val="0"/>
        <w:ind w:firstLine="640" w:firstLineChars="200"/>
        <w:rPr>
          <w:szCs w:val="32"/>
        </w:rPr>
      </w:pPr>
      <w:r>
        <w:rPr>
          <w:rFonts w:hint="eastAsia"/>
          <w:szCs w:val="32"/>
        </w:rPr>
        <w:t>9.水污染物排放强度</w:t>
      </w:r>
    </w:p>
    <w:p>
      <w:pPr>
        <w:adjustRightInd w:val="0"/>
        <w:ind w:firstLine="640" w:firstLineChars="200"/>
        <w:rPr>
          <w:szCs w:val="32"/>
        </w:rPr>
      </w:pPr>
      <w:r>
        <w:rPr>
          <w:rFonts w:hint="eastAsia"/>
          <w:szCs w:val="32"/>
        </w:rPr>
        <w:t>指标解释：水污染物排放强度指企业每产出万元生产总值所排放的水污染物量，用于表征企业环境资源产出效率和占用情况。水污染物排放应低于国家、行业及地方标准，满足区域排放总量控制要求。</w:t>
      </w:r>
    </w:p>
    <w:p>
      <w:pPr>
        <w:ind w:firstLine="0"/>
        <w:rPr>
          <w:rFonts w:hint="eastAsia" w:hAnsi="Cambria Math"/>
          <w:sz w:val="24"/>
          <w:szCs w:val="24"/>
        </w:rPr>
      </w:pPr>
      <m:oMathPara>
        <m:oMath>
          <m:r>
            <m:rPr>
              <m:sty m:val="p"/>
            </m:rPr>
            <w:rPr>
              <w:rFonts w:hint="eastAsia" w:ascii="Cambria Math" w:hAnsi="Cambria Math"/>
              <w:sz w:val="24"/>
              <w:szCs w:val="24"/>
            </w:rPr>
            <m:t>主要水污染物排放强度（污染当量</m:t>
          </m:r>
          <m:r>
            <m:rPr>
              <m:sty m:val="p"/>
            </m:rPr>
            <w:rPr>
              <w:rFonts w:ascii="Cambria Math" w:hAnsi="Cambria Math"/>
              <w:sz w:val="24"/>
              <w:szCs w:val="24"/>
            </w:rPr>
            <m:t>/</m:t>
          </m:r>
          <m:r>
            <m:rPr>
              <m:sty m:val="p"/>
            </m:rPr>
            <w:rPr>
              <w:rFonts w:hint="eastAsia" w:ascii="Cambria Math" w:hAnsi="Cambria Math"/>
              <w:sz w:val="24"/>
              <w:szCs w:val="24"/>
            </w:rPr>
            <m:t>万元）</m:t>
          </m:r>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Σ</m:t>
              </m:r>
              <m:r>
                <m:rPr>
                  <m:sty m:val="p"/>
                </m:rPr>
                <w:rPr>
                  <w:rFonts w:hint="eastAsia" w:ascii="Cambria Math" w:hAnsi="Cambria Math"/>
                  <w:sz w:val="24"/>
                  <w:szCs w:val="24"/>
                </w:rPr>
                <m:t>主要水污染物污染当量数</m:t>
              </m:r>
              <m:ctrlPr>
                <w:rPr>
                  <w:rFonts w:ascii="Cambria Math" w:hAnsi="Cambria Math"/>
                  <w:sz w:val="24"/>
                  <w:szCs w:val="24"/>
                </w:rPr>
              </m:ctrlPr>
            </m:num>
            <m:den>
              <m:r>
                <m:rPr>
                  <m:sty m:val="p"/>
                </m:rPr>
                <w:rPr>
                  <w:rFonts w:hint="eastAsia" w:ascii="Cambria Math" w:hAnsi="Cambria Math"/>
                  <w:sz w:val="24"/>
                  <w:szCs w:val="24"/>
                </w:rPr>
                <m:t>工业总产值（万元）</m:t>
              </m:r>
              <m:ctrlPr>
                <w:rPr>
                  <w:rFonts w:ascii="Cambria Math" w:hAnsi="Cambria Math"/>
                  <w:sz w:val="24"/>
                  <w:szCs w:val="24"/>
                </w:rPr>
              </m:ctrlPr>
            </m:den>
          </m:f>
        </m:oMath>
      </m:oMathPara>
    </w:p>
    <w:p>
      <w:pPr>
        <w:ind w:firstLine="0"/>
        <w:rPr>
          <w:rFonts w:hint="eastAsia" w:hAnsi="Cambria Math"/>
          <w:sz w:val="24"/>
          <w:szCs w:val="24"/>
        </w:rPr>
      </w:pPr>
      <m:oMathPara>
        <m:oMath>
          <m:r>
            <m:rPr>
              <m:sty m:val="p"/>
            </m:rPr>
            <w:rPr>
              <w:rFonts w:hint="eastAsia" w:ascii="Cambria Math" w:hAnsi="Cambria Math"/>
              <w:sz w:val="24"/>
              <w:szCs w:val="24"/>
            </w:rPr>
            <m:t>主要水污染物污染当量数（无量纲）</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水污染物纳税额（元）</m:t>
              </m:r>
              <m:ctrlPr>
                <w:rPr>
                  <w:rFonts w:ascii="Cambria Math" w:hAnsi="Cambria Math"/>
                  <w:sz w:val="24"/>
                  <w:szCs w:val="24"/>
                </w:rPr>
              </m:ctrlPr>
            </m:num>
            <m:den>
              <m:r>
                <m:rPr>
                  <m:sty m:val="p"/>
                </m:rPr>
                <w:rPr>
                  <w:rFonts w:hint="eastAsia" w:ascii="Cambria Math" w:hAnsi="Cambria Math"/>
                  <w:sz w:val="24"/>
                  <w:szCs w:val="24"/>
                </w:rPr>
                <m:t>水污染物适用税额（元）</m:t>
              </m:r>
              <m:ctrlPr>
                <w:rPr>
                  <w:rFonts w:ascii="Cambria Math" w:hAnsi="Cambria Math"/>
                  <w:sz w:val="24"/>
                  <w:szCs w:val="24"/>
                </w:rPr>
              </m:ctrlPr>
            </m:den>
          </m:f>
        </m:oMath>
      </m:oMathPara>
    </w:p>
    <w:p>
      <w:pPr>
        <w:ind w:firstLine="640" w:firstLineChars="200"/>
        <w:rPr>
          <w:szCs w:val="32"/>
        </w:rPr>
      </w:pPr>
      <w:r>
        <w:rPr>
          <w:rFonts w:hint="eastAsia"/>
          <w:szCs w:val="32"/>
        </w:rPr>
        <w:t>数据来源：生态环境部门、统计部门、税务部门。</w:t>
      </w:r>
    </w:p>
    <w:p>
      <w:pPr>
        <w:adjustRightInd w:val="0"/>
        <w:ind w:firstLine="640" w:firstLineChars="200"/>
        <w:rPr>
          <w:szCs w:val="32"/>
        </w:rPr>
      </w:pPr>
      <w:r>
        <w:rPr>
          <w:rFonts w:hint="eastAsia"/>
          <w:szCs w:val="32"/>
        </w:rPr>
        <w:t>10.大气污染物排放强度</w:t>
      </w:r>
    </w:p>
    <w:p>
      <w:pPr>
        <w:adjustRightInd w:val="0"/>
        <w:ind w:firstLine="640" w:firstLineChars="200"/>
        <w:rPr>
          <w:szCs w:val="32"/>
        </w:rPr>
      </w:pPr>
      <w:r>
        <w:rPr>
          <w:rFonts w:hint="eastAsia"/>
          <w:szCs w:val="32"/>
        </w:rPr>
        <w:t>指标解释：</w:t>
      </w:r>
      <w:r>
        <w:rPr>
          <w:szCs w:val="32"/>
        </w:rPr>
        <w:t>大气污染物排放</w:t>
      </w:r>
      <w:r>
        <w:rPr>
          <w:rFonts w:hint="eastAsia"/>
          <w:szCs w:val="32"/>
        </w:rPr>
        <w:t>强度是指企业每产出万元生产总值所排放的大气污染物量，用于表征企业环境资源产出效率和占用情况。大气污染物排放应低于国家、行业及地方标准，满足区域排放总量控制要求。</w:t>
      </w:r>
    </w:p>
    <w:p>
      <w:pPr>
        <w:ind w:firstLine="0"/>
        <w:rPr>
          <w:rFonts w:hint="eastAsia" w:hAnsi="Cambria Math"/>
          <w:sz w:val="24"/>
          <w:szCs w:val="24"/>
        </w:rPr>
      </w:pPr>
      <m:oMathPara>
        <m:oMath>
          <m:r>
            <m:rPr>
              <m:sty m:val="p"/>
            </m:rPr>
            <w:rPr>
              <w:rFonts w:hint="eastAsia" w:ascii="Cambria Math" w:hAnsi="Cambria Math"/>
              <w:sz w:val="24"/>
              <w:szCs w:val="24"/>
            </w:rPr>
            <m:t>主要大气污染物排放强度（污染当量</m:t>
          </m:r>
          <m:r>
            <m:rPr>
              <m:sty m:val="p"/>
            </m:rPr>
            <w:rPr>
              <w:rFonts w:ascii="Cambria Math" w:hAnsi="Cambria Math"/>
              <w:sz w:val="24"/>
              <w:szCs w:val="24"/>
            </w:rPr>
            <m:t>/</m:t>
          </m:r>
          <m:r>
            <m:rPr>
              <m:sty m:val="p"/>
            </m:rPr>
            <w:rPr>
              <w:rFonts w:hint="eastAsia" w:ascii="Cambria Math" w:hAnsi="Cambria Math"/>
              <w:sz w:val="24"/>
              <w:szCs w:val="24"/>
            </w:rPr>
            <m:t>万元）</m:t>
          </m:r>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Σ</m:t>
              </m:r>
              <m:r>
                <m:rPr>
                  <m:sty m:val="p"/>
                </m:rPr>
                <w:rPr>
                  <w:rFonts w:hint="eastAsia" w:ascii="Cambria Math" w:hAnsi="Cambria Math"/>
                  <w:sz w:val="24"/>
                  <w:szCs w:val="24"/>
                </w:rPr>
                <m:t>主要大气污染物污染当量数</m:t>
              </m:r>
              <m:ctrlPr>
                <w:rPr>
                  <w:rFonts w:ascii="Cambria Math" w:hAnsi="Cambria Math"/>
                  <w:sz w:val="24"/>
                  <w:szCs w:val="24"/>
                </w:rPr>
              </m:ctrlPr>
            </m:num>
            <m:den>
              <m:r>
                <m:rPr>
                  <m:sty m:val="p"/>
                </m:rPr>
                <w:rPr>
                  <w:rFonts w:hint="eastAsia" w:ascii="Cambria Math" w:hAnsi="Cambria Math"/>
                  <w:sz w:val="24"/>
                  <w:szCs w:val="24"/>
                </w:rPr>
                <m:t>工业总产值（万元）</m:t>
              </m:r>
              <m:ctrlPr>
                <w:rPr>
                  <w:rFonts w:ascii="Cambria Math" w:hAnsi="Cambria Math"/>
                  <w:sz w:val="24"/>
                  <w:szCs w:val="24"/>
                </w:rPr>
              </m:ctrlPr>
            </m:den>
          </m:f>
        </m:oMath>
      </m:oMathPara>
    </w:p>
    <w:p>
      <w:pPr>
        <w:ind w:firstLine="0"/>
        <w:rPr>
          <w:rFonts w:hint="eastAsia" w:hAnsi="Cambria Math"/>
          <w:sz w:val="24"/>
          <w:szCs w:val="24"/>
        </w:rPr>
      </w:pPr>
      <m:oMathPara>
        <m:oMath>
          <m:r>
            <m:rPr>
              <m:sty m:val="p"/>
            </m:rPr>
            <w:rPr>
              <w:rFonts w:hint="eastAsia" w:ascii="Cambria Math" w:hAnsi="Cambria Math"/>
              <w:sz w:val="24"/>
              <w:szCs w:val="24"/>
            </w:rPr>
            <m:t>主要大气污染物污染当量数（无量纲）</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大气污染物纳税额（元）</m:t>
              </m:r>
              <m:ctrlPr>
                <w:rPr>
                  <w:rFonts w:ascii="Cambria Math" w:hAnsi="Cambria Math"/>
                  <w:sz w:val="24"/>
                  <w:szCs w:val="24"/>
                </w:rPr>
              </m:ctrlPr>
            </m:num>
            <m:den>
              <m:r>
                <m:rPr>
                  <m:sty m:val="p"/>
                </m:rPr>
                <w:rPr>
                  <w:rFonts w:hint="eastAsia" w:ascii="Cambria Math" w:hAnsi="Cambria Math"/>
                  <w:sz w:val="24"/>
                  <w:szCs w:val="24"/>
                </w:rPr>
                <m:t>大气污染物适用税额（元）</m:t>
              </m:r>
              <m:ctrlPr>
                <w:rPr>
                  <w:rFonts w:ascii="Cambria Math" w:hAnsi="Cambria Math"/>
                  <w:sz w:val="24"/>
                  <w:szCs w:val="24"/>
                </w:rPr>
              </m:ctrlPr>
            </m:den>
          </m:f>
        </m:oMath>
      </m:oMathPara>
    </w:p>
    <w:p>
      <w:pPr>
        <w:ind w:firstLine="640" w:firstLineChars="200"/>
        <w:rPr>
          <w:szCs w:val="32"/>
        </w:rPr>
      </w:pPr>
      <w:r>
        <w:rPr>
          <w:rFonts w:hint="eastAsia"/>
          <w:szCs w:val="32"/>
        </w:rPr>
        <w:t>数据来源：生态环境部门、统计部门、税务部门。</w:t>
      </w:r>
    </w:p>
    <w:p>
      <w:pPr>
        <w:adjustRightInd w:val="0"/>
        <w:ind w:firstLine="640" w:firstLineChars="200"/>
        <w:rPr>
          <w:szCs w:val="32"/>
        </w:rPr>
      </w:pPr>
      <w:r>
        <w:rPr>
          <w:rFonts w:hint="eastAsia"/>
          <w:szCs w:val="32"/>
        </w:rPr>
        <w:t>11.单位产品碳排放</w:t>
      </w:r>
    </w:p>
    <w:p>
      <w:pPr>
        <w:ind w:firstLine="640" w:firstLineChars="200"/>
        <w:rPr>
          <w:szCs w:val="32"/>
        </w:rPr>
      </w:pPr>
      <w:r>
        <w:rPr>
          <w:rFonts w:hint="eastAsia"/>
          <w:szCs w:val="32"/>
        </w:rPr>
        <w:t>指标解释：该指标用于表征企业碳排放水平。</w:t>
      </w:r>
    </w:p>
    <w:p>
      <w:pPr>
        <w:ind w:firstLine="0"/>
        <w:rPr>
          <w:rFonts w:hint="eastAsia" w:hAnsi="Cambria Math"/>
          <w:szCs w:val="32"/>
        </w:rPr>
      </w:pPr>
      <m:oMathPara>
        <m:oMath>
          <m:r>
            <m:rPr>
              <m:sty m:val="p"/>
            </m:rPr>
            <w:rPr>
              <w:rFonts w:hint="eastAsia" w:ascii="Cambria Math" w:hAnsi="Cambria Math"/>
              <w:sz w:val="24"/>
              <w:szCs w:val="24"/>
            </w:rPr>
            <m:t>单位产品碳排放（</m:t>
          </m:r>
          <m:r>
            <m:rPr>
              <m:sty m:val="p"/>
            </m:rPr>
            <w:rPr>
              <w:rFonts w:ascii="Cambria Math" w:hAnsi="Cambria Math"/>
              <w:sz w:val="24"/>
              <w:szCs w:val="24"/>
            </w:rPr>
            <m:t>t</m:t>
          </m:r>
          <m:sSub>
            <m:sSubPr>
              <m:ctrlPr>
                <w:rPr>
                  <w:rFonts w:ascii="Cambria Math" w:hAnsi="Cambria Math"/>
                  <w:sz w:val="24"/>
                  <w:szCs w:val="24"/>
                </w:rPr>
              </m:ctrlPr>
            </m:sSubPr>
            <m:e>
              <m:r>
                <m:rPr>
                  <m:sty m:val="p"/>
                </m:rPr>
                <w:rPr>
                  <w:rFonts w:ascii="Cambria Math" w:hAnsi="Cambria Math"/>
                  <w:sz w:val="24"/>
                  <w:szCs w:val="24"/>
                </w:rPr>
                <m:t>CO</m:t>
              </m:r>
              <m:ctrlPr>
                <w:rPr>
                  <w:rFonts w:ascii="Cambria Math" w:hAnsi="Cambria Math"/>
                  <w:sz w:val="24"/>
                  <w:szCs w:val="24"/>
                </w:rPr>
              </m:ctrlPr>
            </m:e>
            <m:sub>
              <m:r>
                <m:rPr>
                  <m:sty m:val="p"/>
                </m:rPr>
                <w:rPr>
                  <w:rFonts w:ascii="Cambria Math" w:hAnsi="Cambria Math"/>
                  <w:sz w:val="24"/>
                  <w:szCs w:val="24"/>
                </w:rPr>
                <m:t>2</m:t>
              </m:r>
              <m:ctrlPr>
                <w:rPr>
                  <w:rFonts w:ascii="Cambria Math" w:hAnsi="Cambria Math"/>
                  <w:sz w:val="24"/>
                  <w:szCs w:val="24"/>
                </w:rPr>
              </m:ctrlPr>
            </m:sub>
          </m:sSub>
          <m:r>
            <m:rPr>
              <m:sty m:val="p"/>
            </m:rPr>
            <w:rPr>
              <w:rFonts w:ascii="Cambria Math" w:hAnsi="Cambria Math"/>
              <w:sz w:val="24"/>
              <w:szCs w:val="24"/>
            </w:rPr>
            <m:t>/t产品</m:t>
          </m:r>
          <m:r>
            <m:rPr>
              <m:sty m:val="p"/>
            </m:rPr>
            <w:rPr>
              <w:rFonts w:hint="eastAsia" w:ascii="Cambria Math" w:hAnsi="Cambria Math"/>
              <w:sz w:val="24"/>
              <w:szCs w:val="24"/>
            </w:rPr>
            <m:t>）</m:t>
          </m:r>
          <m:r>
            <m:rPr>
              <m:sty m:val="p"/>
            </m:rPr>
            <w:rPr>
              <w:rFonts w:ascii="Cambria Math" w:hAnsi="Cambria Math"/>
              <w:sz w:val="24"/>
              <w:szCs w:val="24"/>
            </w:rPr>
            <m:t>=</m:t>
          </m:r>
          <m:f>
            <m:fPr>
              <m:ctrlPr>
                <w:rPr>
                  <w:rFonts w:ascii="Cambria Math" w:hAnsi="Cambria Math"/>
                  <w:sz w:val="24"/>
                  <w:szCs w:val="24"/>
                </w:rPr>
              </m:ctrlPr>
            </m:fPr>
            <m:num>
              <m:r>
                <m:rPr>
                  <m:sty m:val="p"/>
                </m:rPr>
                <w:rPr>
                  <w:rFonts w:hint="eastAsia" w:ascii="Cambria Math" w:hAnsi="Cambria Math"/>
                  <w:sz w:val="24"/>
                  <w:szCs w:val="24"/>
                </w:rPr>
                <m:t>碳排放量（</m:t>
              </m:r>
              <m:r>
                <m:rPr>
                  <m:sty m:val="p"/>
                </m:rPr>
                <w:rPr>
                  <w:rFonts w:ascii="Cambria Math" w:hAnsi="Cambria Math" w:eastAsia="仿宋_GB2312"/>
                  <w:color w:val="000000"/>
                  <w:szCs w:val="32"/>
                </w:rPr>
                <m:t>t</m:t>
              </m:r>
              <m:sSub>
                <m:sSubPr>
                  <m:ctrlPr>
                    <w:rPr>
                      <w:rFonts w:ascii="Cambria Math" w:hAnsi="Cambria Math" w:eastAsia="仿宋_GB2312"/>
                      <w:color w:val="000000"/>
                      <w:szCs w:val="32"/>
                    </w:rPr>
                  </m:ctrlPr>
                </m:sSubPr>
                <m:e>
                  <m:r>
                    <m:rPr>
                      <m:sty m:val="p"/>
                    </m:rPr>
                    <w:rPr>
                      <w:rFonts w:hint="eastAsia" w:ascii="Cambria Math" w:hAnsi="Cambria Math" w:eastAsia="仿宋_GB2312"/>
                      <w:color w:val="000000"/>
                      <w:szCs w:val="32"/>
                    </w:rPr>
                    <m:t>CO</m:t>
                  </m:r>
                  <m:ctrlPr>
                    <w:rPr>
                      <w:rFonts w:ascii="Cambria Math" w:hAnsi="Cambria Math" w:eastAsia="仿宋_GB2312"/>
                      <w:color w:val="000000"/>
                      <w:szCs w:val="32"/>
                    </w:rPr>
                  </m:ctrlPr>
                </m:e>
                <m:sub>
                  <m:r>
                    <m:rPr>
                      <m:sty m:val="p"/>
                    </m:rPr>
                    <w:rPr>
                      <w:rFonts w:ascii="Cambria Math" w:hAnsi="Cambria Math" w:eastAsia="仿宋_GB2312"/>
                      <w:color w:val="000000"/>
                      <w:szCs w:val="32"/>
                    </w:rPr>
                    <m:t>2</m:t>
                  </m:r>
                  <m:ctrlPr>
                    <w:rPr>
                      <w:rFonts w:ascii="Cambria Math" w:hAnsi="Cambria Math" w:eastAsia="仿宋_GB2312"/>
                      <w:color w:val="000000"/>
                      <w:szCs w:val="32"/>
                    </w:rPr>
                  </m:ctrlPr>
                </m:sub>
              </m:sSub>
              <m:r>
                <m:rPr>
                  <m:sty m:val="p"/>
                </m:rPr>
                <w:rPr>
                  <w:rFonts w:hint="eastAsia" w:ascii="Cambria Math" w:hAnsi="Cambria Math"/>
                  <w:sz w:val="24"/>
                  <w:szCs w:val="24"/>
                </w:rPr>
                <m:t>）</m:t>
              </m:r>
              <m:ctrlPr>
                <w:rPr>
                  <w:rFonts w:ascii="Cambria Math" w:hAnsi="Cambria Math"/>
                  <w:sz w:val="24"/>
                  <w:szCs w:val="24"/>
                </w:rPr>
              </m:ctrlPr>
            </m:num>
            <m:den>
              <m:r>
                <m:rPr>
                  <m:sty m:val="p"/>
                </m:rPr>
                <w:rPr>
                  <w:rFonts w:hint="eastAsia" w:ascii="Cambria Math" w:hAnsi="Cambria Math"/>
                  <w:sz w:val="24"/>
                  <w:szCs w:val="24"/>
                </w:rPr>
                <m:t>产品产量（</m:t>
              </m:r>
              <m:r>
                <m:rPr>
                  <m:sty m:val="p"/>
                </m:rPr>
                <w:rPr>
                  <w:rFonts w:ascii="Cambria Math" w:hAnsi="Cambria Math" w:eastAsia="仿宋_GB2312"/>
                  <w:color w:val="000000"/>
                  <w:szCs w:val="32"/>
                </w:rPr>
                <m:t>t</m:t>
              </m:r>
              <m:r>
                <m:rPr>
                  <m:sty m:val="p"/>
                </m:rPr>
                <w:rPr>
                  <w:rFonts w:hint="eastAsia" w:ascii="Cambria Math" w:hAnsi="Cambria Math"/>
                  <w:sz w:val="24"/>
                  <w:szCs w:val="24"/>
                </w:rPr>
                <m:t>）</m:t>
              </m:r>
              <m:ctrlPr>
                <w:rPr>
                  <w:rFonts w:ascii="Cambria Math" w:hAnsi="Cambria Math"/>
                  <w:sz w:val="24"/>
                  <w:szCs w:val="24"/>
                </w:rPr>
              </m:ctrlPr>
            </m:den>
          </m:f>
        </m:oMath>
      </m:oMathPara>
    </w:p>
    <w:p>
      <w:pPr>
        <w:ind w:firstLine="640" w:firstLineChars="200"/>
        <w:rPr>
          <w:szCs w:val="32"/>
        </w:rPr>
      </w:pPr>
      <w:r>
        <w:rPr>
          <w:rFonts w:hint="eastAsia"/>
          <w:szCs w:val="32"/>
        </w:rPr>
        <w:t>数据来源：生态环境部门、统计部门。</w:t>
      </w:r>
    </w:p>
    <w:p>
      <w:pPr>
        <w:numPr>
          <w:ilvl w:val="0"/>
          <w:numId w:val="1"/>
        </w:numPr>
        <w:adjustRightInd w:val="0"/>
        <w:spacing w:line="590" w:lineRule="exact"/>
        <w:rPr>
          <w:rFonts w:eastAsia="方正黑体_GBK" w:cs="方正黑体_GBK"/>
        </w:rPr>
      </w:pPr>
      <w:r>
        <w:rPr>
          <w:rFonts w:hint="eastAsia" w:eastAsia="方正黑体_GBK" w:cs="方正黑体_GBK"/>
        </w:rPr>
        <w:t>加分指标</w:t>
      </w:r>
    </w:p>
    <w:p>
      <w:pPr>
        <w:pStyle w:val="20"/>
        <w:numPr>
          <w:ilvl w:val="0"/>
          <w:numId w:val="2"/>
        </w:numPr>
        <w:adjustRightInd w:val="0"/>
        <w:snapToGrid w:val="0"/>
        <w:spacing w:line="590" w:lineRule="exact"/>
        <w:ind w:firstLine="640"/>
        <w:rPr>
          <w:rFonts w:eastAsia="方正仿宋_GBK"/>
          <w:snapToGrid w:val="0"/>
          <w:kern w:val="0"/>
          <w:sz w:val="32"/>
          <w:szCs w:val="32"/>
        </w:rPr>
      </w:pPr>
      <w:r>
        <w:rPr>
          <w:rFonts w:hint="eastAsia" w:eastAsia="方正仿宋_GBK"/>
          <w:snapToGrid w:val="0"/>
          <w:kern w:val="0"/>
          <w:sz w:val="32"/>
          <w:szCs w:val="32"/>
        </w:rPr>
        <w:t>工业产品绿色设计示范企业、绿色工厂、绿色供应链管理企业、绿色设计产品、再生资源综合利用行业规范条件企业由工信（经信）部门组织开展。</w:t>
      </w:r>
    </w:p>
    <w:p>
      <w:pPr>
        <w:pStyle w:val="20"/>
        <w:numPr>
          <w:ilvl w:val="0"/>
          <w:numId w:val="2"/>
        </w:numPr>
        <w:adjustRightInd w:val="0"/>
        <w:snapToGrid w:val="0"/>
        <w:spacing w:line="590" w:lineRule="exact"/>
        <w:ind w:firstLine="640"/>
        <w:rPr>
          <w:rFonts w:eastAsia="方正仿宋_GBK"/>
          <w:snapToGrid w:val="0"/>
          <w:kern w:val="0"/>
          <w:sz w:val="32"/>
          <w:szCs w:val="32"/>
        </w:rPr>
      </w:pPr>
      <w:r>
        <w:rPr>
          <w:rFonts w:hint="eastAsia" w:eastAsia="方正仿宋_GBK"/>
          <w:snapToGrid w:val="0"/>
          <w:kern w:val="0"/>
          <w:sz w:val="32"/>
          <w:szCs w:val="32"/>
        </w:rPr>
        <w:t>无废工厂（集团）由工信（经信）部门和生态环境部门组织开展。</w:t>
      </w:r>
    </w:p>
    <w:p>
      <w:pPr>
        <w:pStyle w:val="20"/>
        <w:numPr>
          <w:ilvl w:val="0"/>
          <w:numId w:val="2"/>
        </w:numPr>
        <w:adjustRightInd w:val="0"/>
        <w:snapToGrid w:val="0"/>
        <w:spacing w:line="590" w:lineRule="exact"/>
        <w:ind w:firstLine="640"/>
        <w:rPr>
          <w:rFonts w:eastAsia="方正仿宋_GBK"/>
          <w:snapToGrid w:val="0"/>
          <w:kern w:val="0"/>
          <w:sz w:val="32"/>
          <w:szCs w:val="32"/>
        </w:rPr>
      </w:pPr>
      <w:r>
        <w:rPr>
          <w:rFonts w:eastAsia="方正仿宋_GBK"/>
          <w:snapToGrid w:val="0"/>
          <w:kern w:val="0"/>
          <w:sz w:val="32"/>
          <w:szCs w:val="32"/>
        </w:rPr>
        <w:t>重点用水企业水效“领跑者”</w:t>
      </w:r>
      <w:r>
        <w:rPr>
          <w:rFonts w:hint="eastAsia" w:eastAsia="方正仿宋_GBK"/>
          <w:snapToGrid w:val="0"/>
          <w:kern w:val="0"/>
          <w:sz w:val="32"/>
          <w:szCs w:val="32"/>
        </w:rPr>
        <w:t>由工信（经信）、水利、发改、市场监管四部门组织开展。</w:t>
      </w:r>
    </w:p>
    <w:p>
      <w:pPr>
        <w:pStyle w:val="20"/>
        <w:numPr>
          <w:ilvl w:val="0"/>
          <w:numId w:val="2"/>
        </w:numPr>
        <w:adjustRightInd w:val="0"/>
        <w:snapToGrid w:val="0"/>
        <w:spacing w:line="590" w:lineRule="exact"/>
        <w:ind w:firstLine="640"/>
        <w:rPr>
          <w:rFonts w:eastAsia="方正仿宋_GBK"/>
          <w:snapToGrid w:val="0"/>
          <w:kern w:val="0"/>
          <w:sz w:val="32"/>
          <w:szCs w:val="32"/>
        </w:rPr>
      </w:pPr>
      <w:r>
        <w:rPr>
          <w:rFonts w:eastAsia="方正仿宋_GBK"/>
          <w:snapToGrid w:val="0"/>
          <w:kern w:val="0"/>
          <w:sz w:val="32"/>
          <w:szCs w:val="32"/>
        </w:rPr>
        <w:t>重点用能行业能效“领跑者”企业</w:t>
      </w:r>
      <w:r>
        <w:rPr>
          <w:rFonts w:hint="eastAsia" w:eastAsia="方正仿宋_GBK"/>
          <w:snapToGrid w:val="0"/>
          <w:kern w:val="0"/>
          <w:sz w:val="32"/>
          <w:szCs w:val="32"/>
        </w:rPr>
        <w:t>由工信（经信）、发改、市场监管三部门组织开展。</w:t>
      </w:r>
    </w:p>
    <w:p>
      <w:pPr>
        <w:pStyle w:val="20"/>
        <w:numPr>
          <w:ilvl w:val="0"/>
          <w:numId w:val="2"/>
        </w:numPr>
        <w:adjustRightInd w:val="0"/>
        <w:snapToGrid w:val="0"/>
        <w:spacing w:line="590" w:lineRule="exact"/>
        <w:ind w:firstLine="640"/>
        <w:rPr>
          <w:rFonts w:eastAsia="方正仿宋_GBK"/>
          <w:snapToGrid w:val="0"/>
          <w:kern w:val="0"/>
          <w:sz w:val="32"/>
          <w:szCs w:val="32"/>
        </w:rPr>
      </w:pPr>
      <w:r>
        <w:rPr>
          <w:rFonts w:eastAsia="方正仿宋_GBK"/>
          <w:snapToGrid w:val="0"/>
          <w:kern w:val="0"/>
          <w:sz w:val="32"/>
          <w:szCs w:val="32"/>
        </w:rPr>
        <w:t>完成污水输送明管化、雨水管网明渠化改造</w:t>
      </w:r>
      <w:r>
        <w:rPr>
          <w:rFonts w:hint="eastAsia" w:eastAsia="方正仿宋_GBK"/>
          <w:snapToGrid w:val="0"/>
          <w:kern w:val="0"/>
          <w:sz w:val="32"/>
          <w:szCs w:val="32"/>
        </w:rPr>
        <w:t>的</w:t>
      </w:r>
      <w:r>
        <w:rPr>
          <w:rFonts w:eastAsia="方正仿宋_GBK"/>
          <w:snapToGrid w:val="0"/>
          <w:kern w:val="0"/>
          <w:sz w:val="32"/>
          <w:szCs w:val="32"/>
        </w:rPr>
        <w:t>企业</w:t>
      </w:r>
      <w:r>
        <w:rPr>
          <w:rFonts w:hint="eastAsia" w:eastAsia="方正仿宋_GBK"/>
          <w:snapToGrid w:val="0"/>
          <w:kern w:val="0"/>
          <w:sz w:val="32"/>
          <w:szCs w:val="32"/>
        </w:rPr>
        <w:t>需提供相关的工程验收材料及影像图片证明完成</w:t>
      </w:r>
      <w:r>
        <w:rPr>
          <w:rFonts w:eastAsia="方正仿宋_GBK"/>
          <w:snapToGrid w:val="0"/>
          <w:kern w:val="0"/>
          <w:sz w:val="32"/>
          <w:szCs w:val="32"/>
        </w:rPr>
        <w:t>污水输送明管化、雨水管网明渠化改造</w:t>
      </w:r>
      <w:r>
        <w:rPr>
          <w:rFonts w:hint="eastAsia" w:eastAsia="方正仿宋_GBK"/>
          <w:snapToGrid w:val="0"/>
          <w:kern w:val="0"/>
          <w:sz w:val="32"/>
          <w:szCs w:val="32"/>
        </w:rPr>
        <w:t>。</w:t>
      </w:r>
    </w:p>
    <w:p>
      <w:pPr>
        <w:pStyle w:val="5"/>
      </w:pPr>
    </w:p>
    <w:p>
      <w:pPr>
        <w:ind w:firstLine="0"/>
        <w:outlineLvl w:val="0"/>
        <w:rPr>
          <w:rFonts w:eastAsia="方正黑体_GBK"/>
          <w:szCs w:val="32"/>
        </w:rPr>
      </w:pPr>
      <w:r>
        <w:rPr>
          <w:rFonts w:eastAsia="方正黑体_GBK"/>
          <w:szCs w:val="32"/>
        </w:rPr>
        <w:t>附件</w:t>
      </w:r>
      <w:r>
        <w:rPr>
          <w:rFonts w:hint="eastAsia" w:eastAsia="方正黑体_GBK"/>
          <w:szCs w:val="32"/>
        </w:rPr>
        <w:t>2</w:t>
      </w:r>
    </w:p>
    <w:p>
      <w:pPr>
        <w:ind w:firstLine="0"/>
        <w:rPr>
          <w:szCs w:val="32"/>
        </w:rPr>
      </w:pPr>
    </w:p>
    <w:p>
      <w:pPr>
        <w:pStyle w:val="21"/>
        <w:outlineLvl w:val="0"/>
      </w:pPr>
      <w:r>
        <w:rPr>
          <w:rFonts w:hint="eastAsia"/>
        </w:rPr>
        <w:t>长三角生态绿色一体化发展示范区</w:t>
      </w:r>
    </w:p>
    <w:p>
      <w:pPr>
        <w:pStyle w:val="21"/>
        <w:outlineLvl w:val="0"/>
      </w:pPr>
      <w:r>
        <w:rPr>
          <w:rFonts w:hint="eastAsia"/>
        </w:rPr>
        <w:t>绿色发展领军企业申</w:t>
      </w:r>
      <w:r>
        <w:t>报</w:t>
      </w:r>
      <w:r>
        <w:rPr>
          <w:rFonts w:hint="eastAsia"/>
        </w:rPr>
        <w:t>材料</w:t>
      </w: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0"/>
        <w:rPr>
          <w:szCs w:val="32"/>
        </w:rPr>
      </w:pPr>
    </w:p>
    <w:p>
      <w:pPr>
        <w:ind w:firstLine="1580" w:firstLineChars="494"/>
        <w:outlineLvl w:val="1"/>
        <w:rPr>
          <w:szCs w:val="32"/>
        </w:rPr>
      </w:pPr>
      <w:r>
        <w:rPr>
          <w:rFonts w:hint="eastAsia"/>
          <w:szCs w:val="32"/>
        </w:rPr>
        <w:t>企业名称（加盖公章）：</w:t>
      </w:r>
    </w:p>
    <w:p>
      <w:pPr>
        <w:ind w:firstLine="0"/>
        <w:rPr>
          <w:szCs w:val="32"/>
        </w:rPr>
      </w:pPr>
    </w:p>
    <w:p>
      <w:pPr>
        <w:ind w:firstLine="1600" w:firstLineChars="500"/>
        <w:outlineLvl w:val="1"/>
        <w:rPr>
          <w:szCs w:val="32"/>
        </w:rPr>
      </w:pPr>
      <w:r>
        <w:rPr>
          <w:rFonts w:hint="eastAsia"/>
          <w:szCs w:val="32"/>
        </w:rPr>
        <w:t>申报日期：     年     月     日</w:t>
      </w:r>
    </w:p>
    <w:p>
      <w:pPr>
        <w:ind w:firstLine="0"/>
        <w:rPr>
          <w:szCs w:val="32"/>
        </w:rPr>
      </w:pPr>
    </w:p>
    <w:p>
      <w:pPr>
        <w:ind w:firstLine="0"/>
        <w:rPr>
          <w:szCs w:val="32"/>
        </w:rPr>
      </w:pPr>
    </w:p>
    <w:p>
      <w:pPr>
        <w:pStyle w:val="21"/>
        <w:outlineLvl w:val="0"/>
      </w:pPr>
      <w:r>
        <w:rPr>
          <w:rFonts w:hint="eastAsia"/>
        </w:rPr>
        <w:t>填 写 说 明</w:t>
      </w:r>
    </w:p>
    <w:p/>
    <w:p>
      <w:pPr>
        <w:rPr>
          <w:szCs w:val="32"/>
        </w:rPr>
      </w:pPr>
      <w:r>
        <w:rPr>
          <w:rFonts w:hint="eastAsia"/>
          <w:szCs w:val="32"/>
        </w:rPr>
        <w:t>一、申报材料由申请表、自评报告及相关佐证材料构成。</w:t>
      </w:r>
    </w:p>
    <w:p>
      <w:pPr>
        <w:rPr>
          <w:szCs w:val="32"/>
        </w:rPr>
      </w:pPr>
      <w:r>
        <w:rPr>
          <w:rFonts w:hint="eastAsia"/>
          <w:szCs w:val="32"/>
        </w:rPr>
        <w:t>二、申报企业应当准确、如实填报。</w:t>
      </w:r>
    </w:p>
    <w:p>
      <w:pPr>
        <w:rPr>
          <w:szCs w:val="32"/>
        </w:rPr>
      </w:pPr>
      <w:r>
        <w:rPr>
          <w:rFonts w:hint="eastAsia"/>
          <w:szCs w:val="32"/>
        </w:rPr>
        <w:t>三、申请表、自评报告应按照格式填写，相关项目页面不够时，可加附页，并使用 A4 纸打印装订（一式三份、电子版一份）。</w:t>
      </w:r>
    </w:p>
    <w:p>
      <w:pPr>
        <w:rPr>
          <w:szCs w:val="32"/>
        </w:rPr>
      </w:pPr>
    </w:p>
    <w:p>
      <w:pPr>
        <w:rPr>
          <w:szCs w:val="32"/>
        </w:rPr>
      </w:pPr>
    </w:p>
    <w:p>
      <w:pPr>
        <w:rPr>
          <w:szCs w:val="32"/>
        </w:rPr>
      </w:pPr>
    </w:p>
    <w:p>
      <w:pPr>
        <w:rPr>
          <w:szCs w:val="32"/>
        </w:rPr>
      </w:pPr>
    </w:p>
    <w:p>
      <w:pPr>
        <w:rPr>
          <w:szCs w:val="32"/>
        </w:rPr>
      </w:pPr>
    </w:p>
    <w:p>
      <w:pPr>
        <w:rPr>
          <w:szCs w:val="32"/>
        </w:rPr>
      </w:pPr>
    </w:p>
    <w:p>
      <w:pPr>
        <w:rPr>
          <w:szCs w:val="32"/>
        </w:rPr>
      </w:pPr>
    </w:p>
    <w:p>
      <w:pPr>
        <w:rPr>
          <w:szCs w:val="32"/>
        </w:rPr>
      </w:pPr>
    </w:p>
    <w:p>
      <w:pPr>
        <w:rPr>
          <w:rFonts w:eastAsia="方正小标宋_GBK" w:cs="宋体"/>
          <w:snapToGrid/>
          <w:color w:val="000000"/>
          <w:spacing w:val="-4"/>
          <w:sz w:val="44"/>
          <w:szCs w:val="32"/>
        </w:rPr>
      </w:pPr>
      <w:r>
        <w:rPr>
          <w:rFonts w:hint="eastAsia" w:eastAsia="方正小标宋_GBK" w:cs="宋体"/>
          <w:snapToGrid/>
          <w:color w:val="000000"/>
          <w:spacing w:val="-4"/>
          <w:sz w:val="44"/>
          <w:szCs w:val="32"/>
        </w:rPr>
        <w:br w:type="page"/>
      </w:r>
    </w:p>
    <w:p>
      <w:pPr>
        <w:adjustRightInd w:val="0"/>
        <w:spacing w:before="156" w:beforeLines="50" w:after="156" w:afterLines="50" w:line="590" w:lineRule="exact"/>
        <w:ind w:firstLine="0"/>
        <w:jc w:val="center"/>
        <w:rPr>
          <w:rFonts w:eastAsia="方正小标宋_GBK" w:cs="宋体"/>
          <w:snapToGrid/>
          <w:color w:val="000000"/>
          <w:spacing w:val="-4"/>
          <w:sz w:val="44"/>
          <w:szCs w:val="32"/>
        </w:rPr>
      </w:pPr>
      <w:r>
        <w:rPr>
          <w:rFonts w:hint="eastAsia" w:eastAsia="方正小标宋_GBK" w:cs="宋体"/>
          <w:snapToGrid/>
          <w:color w:val="000000"/>
          <w:spacing w:val="-4"/>
          <w:sz w:val="44"/>
          <w:szCs w:val="32"/>
        </w:rPr>
        <w:t>申 请 表</w:t>
      </w:r>
    </w:p>
    <w:tbl>
      <w:tblPr>
        <w:tblStyle w:val="13"/>
        <w:tblW w:w="97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1"/>
        <w:gridCol w:w="710"/>
        <w:gridCol w:w="2541"/>
        <w:gridCol w:w="1529"/>
        <w:gridCol w:w="580"/>
        <w:gridCol w:w="1499"/>
        <w:gridCol w:w="432"/>
        <w:gridCol w:w="16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bCs/>
                <w:sz w:val="21"/>
                <w:szCs w:val="21"/>
              </w:rPr>
            </w:pPr>
            <w:r>
              <w:rPr>
                <w:rFonts w:hint="default" w:ascii="Times New Roman" w:hAnsi="Times New Roman" w:eastAsia="方正仿宋_GBK" w:cs="Times New Roman"/>
                <w:sz w:val="21"/>
                <w:szCs w:val="21"/>
              </w:rPr>
              <w:t>企 业 名 称</w:t>
            </w:r>
          </w:p>
        </w:tc>
        <w:tc>
          <w:tcPr>
            <w:tcW w:w="5729"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统 一 社 会</w:t>
            </w:r>
          </w:p>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Fonts w:hint="default" w:ascii="Times New Roman" w:hAnsi="Times New Roman" w:eastAsia="方正仿宋_GBK" w:cs="Times New Roman"/>
                <w:sz w:val="21"/>
                <w:szCs w:val="21"/>
              </w:rPr>
              <w:t>信 用 代 码</w:t>
            </w:r>
          </w:p>
        </w:tc>
        <w:tc>
          <w:tcPr>
            <w:tcW w:w="5729"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通 讯 地 址</w:t>
            </w:r>
          </w:p>
        </w:tc>
        <w:tc>
          <w:tcPr>
            <w:tcW w:w="5729"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企 业 性 质</w:t>
            </w:r>
          </w:p>
        </w:tc>
        <w:tc>
          <w:tcPr>
            <w:tcW w:w="5729"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所 属 行 业</w:t>
            </w:r>
          </w:p>
        </w:tc>
        <w:tc>
          <w:tcPr>
            <w:tcW w:w="210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c>
          <w:tcPr>
            <w:tcW w:w="149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主 要 产 品</w:t>
            </w:r>
          </w:p>
        </w:tc>
        <w:tc>
          <w:tcPr>
            <w:tcW w:w="212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工 业 产 值</w:t>
            </w:r>
          </w:p>
        </w:tc>
        <w:tc>
          <w:tcPr>
            <w:tcW w:w="210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c>
          <w:tcPr>
            <w:tcW w:w="149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邮    编</w:t>
            </w:r>
          </w:p>
        </w:tc>
        <w:tc>
          <w:tcPr>
            <w:tcW w:w="212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法定代表人</w:t>
            </w:r>
          </w:p>
        </w:tc>
        <w:tc>
          <w:tcPr>
            <w:tcW w:w="210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c>
          <w:tcPr>
            <w:tcW w:w="149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联 系 电 话</w:t>
            </w:r>
          </w:p>
        </w:tc>
        <w:tc>
          <w:tcPr>
            <w:tcW w:w="212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申 报 工 作</w:t>
            </w:r>
          </w:p>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联 系 部 门</w:t>
            </w:r>
          </w:p>
        </w:tc>
        <w:tc>
          <w:tcPr>
            <w:tcW w:w="210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c>
          <w:tcPr>
            <w:tcW w:w="149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联 系 人 及</w:t>
            </w:r>
          </w:p>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联 系 方 式</w:t>
            </w:r>
          </w:p>
        </w:tc>
        <w:tc>
          <w:tcPr>
            <w:tcW w:w="212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701"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bCs/>
                <w:color w:val="auto"/>
                <w:sz w:val="21"/>
                <w:szCs w:val="21"/>
              </w:rPr>
            </w:pPr>
            <w:r>
              <w:rPr>
                <w:rStyle w:val="25"/>
                <w:rFonts w:hint="eastAsia" w:ascii="方正楷体_GBK" w:hAnsi="方正楷体_GBK" w:eastAsia="方正楷体_GBK" w:cs="方正楷体_GBK"/>
                <w:b/>
                <w:bCs/>
                <w:color w:val="auto"/>
                <w:sz w:val="21"/>
                <w:szCs w:val="21"/>
              </w:rPr>
              <w:t>企业自评内容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一级指标</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序号</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二级指标</w:t>
            </w:r>
          </w:p>
        </w:tc>
        <w:tc>
          <w:tcPr>
            <w:tcW w:w="362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是否具备申报条件（在□内打√）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val="0"/>
                <w:bCs w:val="0"/>
                <w:color w:val="auto"/>
                <w:sz w:val="21"/>
                <w:szCs w:val="21"/>
              </w:rPr>
              <w:t>基本条件</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1</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b/>
                <w:bCs/>
                <w:sz w:val="21"/>
                <w:szCs w:val="21"/>
              </w:rPr>
            </w:pPr>
            <w:r>
              <w:rPr>
                <w:rStyle w:val="25"/>
                <w:rFonts w:hint="default" w:ascii="Times New Roman" w:hAnsi="Times New Roman" w:eastAsia="方正仿宋_GBK" w:cs="Times New Roman"/>
                <w:snapToGrid/>
                <w:color w:val="auto"/>
                <w:kern w:val="2"/>
                <w:sz w:val="21"/>
                <w:szCs w:val="21"/>
              </w:rPr>
              <w:t>生产工艺装备及产品符合产业政策要求。</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2</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snapToGrid/>
                <w:color w:val="auto"/>
                <w:kern w:val="2"/>
                <w:sz w:val="21"/>
                <w:szCs w:val="21"/>
              </w:rPr>
              <w:t>按照《环境管理体系要求及使用指南》（GB/T24001—2016/ISO14001:2015），建立实施企业环境管理体系。属于实施强制性清洁生产审核和环境信息披露范围的企业，按照相关规定开展工作。</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3</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配备污染物处理设施并保持正常运转、污染物稳定达标排放，且满足区域排放总量控制要求。需安装在线监测设备的企业，应按照相关管理要求安装并与生态环境部门联网。</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4</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生态环境守法状况良好，3年内未发生生态环境违法行为，未发生突发环境事件，不存在环境有效信访问题或被媒体曝光。</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z w:val="21"/>
                <w:szCs w:val="21"/>
              </w:rPr>
            </w:pPr>
            <w:r>
              <w:rPr>
                <w:rStyle w:val="25"/>
                <w:rFonts w:hint="default" w:ascii="Times New Roman" w:hAnsi="Times New Roman" w:eastAsia="方正仿宋_GBK" w:cs="Times New Roman"/>
                <w:b/>
                <w:bCs/>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5</w:t>
            </w:r>
          </w:p>
        </w:tc>
        <w:tc>
          <w:tcPr>
            <w:tcW w:w="4650"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eastAsia="方正仿宋_GBK" w:cs="Times New Roman"/>
                <w:sz w:val="21"/>
                <w:szCs w:val="21"/>
              </w:rPr>
            </w:pPr>
            <w:r>
              <w:rPr>
                <w:rFonts w:hint="default" w:ascii="Times New Roman" w:hAnsi="Times New Roman" w:eastAsia="方正仿宋_GBK" w:cs="Times New Roman"/>
                <w:sz w:val="21"/>
                <w:szCs w:val="21"/>
              </w:rPr>
              <w:t>近三年无不良信用记录，未被列为失信被执行人。</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bCs/>
                <w:color w:val="auto"/>
                <w:sz w:val="21"/>
                <w:szCs w:val="21"/>
              </w:rPr>
            </w:pPr>
            <w:r>
              <w:rPr>
                <w:rStyle w:val="25"/>
                <w:rFonts w:hint="default" w:ascii="Times New Roman" w:hAnsi="Times New Roman" w:eastAsia="方正仿宋_GBK" w:cs="Times New Roman"/>
                <w:b/>
                <w:bCs/>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eastAsia" w:ascii="方正楷体_GBK" w:hAnsi="方正楷体_GBK" w:eastAsia="方正楷体_GBK" w:cs="方正楷体_GBK"/>
                <w:b/>
                <w:bCs/>
                <w:sz w:val="21"/>
                <w:szCs w:val="21"/>
              </w:rPr>
            </w:pPr>
            <w:r>
              <w:rPr>
                <w:rStyle w:val="25"/>
                <w:rFonts w:hint="eastAsia" w:ascii="方正楷体_GBK" w:hAnsi="方正楷体_GBK" w:eastAsia="方正楷体_GBK" w:cs="方正楷体_GBK"/>
                <w:b/>
                <w:bCs/>
                <w:color w:val="auto"/>
                <w:sz w:val="21"/>
                <w:szCs w:val="21"/>
              </w:rPr>
              <w:t>一级指标</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eastAsia" w:ascii="方正楷体_GBK" w:hAnsi="方正楷体_GBK" w:eastAsia="方正楷体_GBK" w:cs="方正楷体_GBK"/>
                <w:b/>
                <w:bCs/>
                <w:sz w:val="21"/>
                <w:szCs w:val="21"/>
              </w:rPr>
            </w:pPr>
            <w:r>
              <w:rPr>
                <w:rStyle w:val="25"/>
                <w:rFonts w:hint="eastAsia" w:ascii="方正楷体_GBK" w:hAnsi="方正楷体_GBK" w:eastAsia="方正楷体_GBK" w:cs="方正楷体_GBK"/>
                <w:b/>
                <w:bCs/>
                <w:color w:val="auto"/>
                <w:sz w:val="21"/>
                <w:szCs w:val="21"/>
              </w:rPr>
              <w:t>序号</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eastAsia" w:ascii="方正楷体_GBK" w:hAnsi="方正楷体_GBK" w:eastAsia="方正楷体_GBK" w:cs="方正楷体_GBK"/>
                <w:b/>
                <w:bCs/>
                <w:sz w:val="21"/>
                <w:szCs w:val="21"/>
              </w:rPr>
            </w:pPr>
            <w:r>
              <w:rPr>
                <w:rStyle w:val="25"/>
                <w:rFonts w:hint="eastAsia" w:ascii="方正楷体_GBK" w:hAnsi="方正楷体_GBK" w:eastAsia="方正楷体_GBK" w:cs="方正楷体_GBK"/>
                <w:b/>
                <w:bCs/>
                <w:color w:val="auto"/>
                <w:sz w:val="21"/>
                <w:szCs w:val="21"/>
              </w:rPr>
              <w:t>二级指标</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b/>
                <w:bCs/>
                <w:color w:val="auto"/>
                <w:sz w:val="21"/>
                <w:szCs w:val="21"/>
                <w:lang w:val="en-US" w:eastAsia="zh-CN"/>
              </w:rPr>
            </w:pPr>
            <w:r>
              <w:rPr>
                <w:rStyle w:val="25"/>
                <w:rFonts w:hint="eastAsia" w:ascii="方正楷体_GBK" w:hAnsi="方正楷体_GBK" w:eastAsia="方正楷体_GBK" w:cs="方正楷体_GBK"/>
                <w:b/>
                <w:bCs/>
                <w:color w:val="auto"/>
                <w:sz w:val="21"/>
                <w:szCs w:val="21"/>
              </w:rPr>
              <w:t>自评情况（参照附件1</w:t>
            </w:r>
            <w:r>
              <w:rPr>
                <w:rStyle w:val="25"/>
                <w:rFonts w:hint="eastAsia" w:ascii="方正楷体_GBK" w:hAnsi="方正楷体_GBK" w:eastAsia="方正楷体_GBK" w:cs="方正楷体_GBK"/>
                <w:b/>
                <w:bCs/>
                <w:color w:val="auto"/>
                <w:sz w:val="21"/>
                <w:szCs w:val="21"/>
                <w:lang w:val="en-US" w:eastAsia="zh-CN"/>
              </w:rPr>
              <w:t>评价指标体系</w:t>
            </w:r>
          </w:p>
          <w:p>
            <w:pPr>
              <w:keepNext w:val="0"/>
              <w:keepLines w:val="0"/>
              <w:pageBreakBefore w:val="0"/>
              <w:kinsoku/>
              <w:wordWrap/>
              <w:overflowPunct/>
              <w:topLinePunct w:val="0"/>
              <w:bidi w:val="0"/>
              <w:adjustRightInd w:val="0"/>
              <w:snapToGrid w:val="0"/>
              <w:spacing w:line="240" w:lineRule="auto"/>
              <w:ind w:firstLine="0"/>
              <w:jc w:val="center"/>
              <w:textAlignment w:val="auto"/>
              <w:rPr>
                <w:rFonts w:hint="eastAsia" w:ascii="方正楷体_GBK" w:hAnsi="方正楷体_GBK" w:eastAsia="方正楷体_GBK" w:cs="方正楷体_GBK"/>
                <w:b/>
                <w:bCs/>
                <w:sz w:val="21"/>
                <w:szCs w:val="21"/>
              </w:rPr>
            </w:pPr>
            <w:r>
              <w:rPr>
                <w:rStyle w:val="25"/>
                <w:rFonts w:hint="eastAsia" w:ascii="方正楷体_GBK" w:hAnsi="方正楷体_GBK" w:eastAsia="方正楷体_GBK" w:cs="方正楷体_GBK"/>
                <w:b/>
                <w:bCs/>
                <w:color w:val="auto"/>
                <w:sz w:val="21"/>
                <w:szCs w:val="21"/>
              </w:rPr>
              <w:t>开展自评）</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eastAsia" w:ascii="方正楷体_GBK" w:hAnsi="方正楷体_GBK" w:eastAsia="方正楷体_GBK" w:cs="方正楷体_GBK"/>
                <w:b/>
                <w:bCs/>
                <w:sz w:val="21"/>
                <w:szCs w:val="21"/>
              </w:rPr>
            </w:pPr>
            <w:r>
              <w:rPr>
                <w:rStyle w:val="25"/>
                <w:rFonts w:hint="eastAsia" w:ascii="方正楷体_GBK" w:hAnsi="方正楷体_GBK" w:eastAsia="方正楷体_GBK" w:cs="方正楷体_GBK"/>
                <w:b/>
                <w:bCs/>
                <w:color w:val="auto"/>
                <w:sz w:val="21"/>
                <w:szCs w:val="21"/>
              </w:rPr>
              <w:t>自评分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工艺装备</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r>
              <w:rPr>
                <w:rStyle w:val="25"/>
                <w:rFonts w:hint="default" w:ascii="Times New Roman" w:hAnsi="Times New Roman" w:eastAsia="方正仿宋_GBK" w:cs="Times New Roman"/>
                <w:snapToGrid/>
                <w:color w:val="auto"/>
                <w:kern w:val="2"/>
                <w:sz w:val="21"/>
                <w:szCs w:val="21"/>
              </w:rPr>
              <w:t>1</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snapToGrid/>
                <w:color w:val="auto"/>
                <w:kern w:val="2"/>
                <w:sz w:val="21"/>
                <w:szCs w:val="21"/>
              </w:rPr>
            </w:pPr>
            <w:r>
              <w:rPr>
                <w:rStyle w:val="25"/>
                <w:rFonts w:hint="default" w:ascii="Times New Roman" w:hAnsi="Times New Roman" w:eastAsia="方正仿宋_GBK" w:cs="Times New Roman"/>
                <w:snapToGrid/>
                <w:color w:val="auto"/>
                <w:kern w:val="2"/>
                <w:sz w:val="21"/>
                <w:szCs w:val="21"/>
              </w:rPr>
              <w:t>生产工艺水平</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r>
              <w:rPr>
                <w:rStyle w:val="25"/>
                <w:rFonts w:hint="default" w:ascii="Times New Roman" w:hAnsi="Times New Roman" w:eastAsia="方正仿宋_GBK" w:cs="Times New Roman"/>
                <w:snapToGrid/>
                <w:color w:val="auto"/>
                <w:kern w:val="2"/>
                <w:sz w:val="21"/>
                <w:szCs w:val="21"/>
              </w:rPr>
              <w:t>2</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snapToGrid/>
                <w:color w:val="auto"/>
                <w:kern w:val="2"/>
                <w:sz w:val="21"/>
                <w:szCs w:val="21"/>
              </w:rPr>
            </w:pPr>
            <w:r>
              <w:rPr>
                <w:rStyle w:val="25"/>
                <w:rFonts w:hint="default" w:ascii="Times New Roman" w:hAnsi="Times New Roman" w:eastAsia="方正仿宋_GBK" w:cs="Times New Roman"/>
                <w:snapToGrid/>
                <w:color w:val="auto"/>
                <w:kern w:val="2"/>
                <w:sz w:val="21"/>
                <w:szCs w:val="21"/>
              </w:rPr>
              <w:t>通用装备运行效率</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资源集约</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3</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单位产值综合能耗</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4</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Fonts w:hint="default" w:ascii="Times New Roman" w:hAnsi="Times New Roman" w:eastAsia="方正仿宋_GBK" w:cs="Times New Roman"/>
                <w:snapToGrid/>
                <w:kern w:val="2"/>
                <w:sz w:val="21"/>
                <w:szCs w:val="21"/>
              </w:rPr>
              <w:t>单位产值用新水量</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color w:val="auto"/>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5</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土地产出率</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color w:val="auto"/>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循环利用</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6</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Fonts w:hint="default" w:ascii="Times New Roman" w:hAnsi="Times New Roman" w:eastAsia="方正仿宋_GBK" w:cs="Times New Roman"/>
                <w:sz w:val="21"/>
                <w:szCs w:val="21"/>
              </w:rPr>
              <w:t>产品可回收利用率</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Fonts w:hint="default" w:ascii="Times New Roman" w:hAnsi="Times New Roman" w:eastAsia="方正仿宋_GBK" w:cs="Times New Roman"/>
                <w:snapToGrid/>
                <w:spacing w:val="-6"/>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7</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有害物质使用</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Fonts w:hint="default" w:ascii="Times New Roman" w:hAnsi="Times New Roman" w:eastAsia="方正仿宋_GBK" w:cs="Times New Roman"/>
                <w:snapToGrid/>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8</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固体废物资源化综合利用</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Fonts w:hint="default" w:ascii="Times New Roman" w:hAnsi="Times New Roman" w:eastAsia="方正仿宋_GBK" w:cs="Times New Roman"/>
                <w:snapToGrid/>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减污降碳</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9</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水污染物排放强度</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10</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大气污染物排放强度</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11</w:t>
            </w:r>
          </w:p>
        </w:tc>
        <w:tc>
          <w:tcPr>
            <w:tcW w:w="254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snapToGrid/>
                <w:kern w:val="2"/>
                <w:sz w:val="21"/>
                <w:szCs w:val="21"/>
              </w:rPr>
            </w:pPr>
            <w:r>
              <w:rPr>
                <w:rStyle w:val="25"/>
                <w:rFonts w:hint="default" w:ascii="Times New Roman" w:hAnsi="Times New Roman" w:eastAsia="方正仿宋_GBK" w:cs="Times New Roman"/>
                <w:snapToGrid/>
                <w:color w:val="auto"/>
                <w:kern w:val="2"/>
                <w:sz w:val="21"/>
                <w:szCs w:val="21"/>
              </w:rPr>
              <w:t>单位产品碳排放</w:t>
            </w:r>
          </w:p>
        </w:tc>
        <w:tc>
          <w:tcPr>
            <w:tcW w:w="404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snapToGrid/>
                <w:color w:val="auto"/>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一级指标</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序号</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二级指标</w:t>
            </w:r>
          </w:p>
        </w:tc>
        <w:tc>
          <w:tcPr>
            <w:tcW w:w="420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eastAsia" w:ascii="方正楷体_GBK" w:hAnsi="方正楷体_GBK" w:eastAsia="方正楷体_GBK" w:cs="方正楷体_GBK"/>
                <w:color w:val="auto"/>
                <w:sz w:val="21"/>
                <w:szCs w:val="21"/>
              </w:rPr>
            </w:pPr>
            <w:r>
              <w:rPr>
                <w:rStyle w:val="25"/>
                <w:rFonts w:hint="eastAsia" w:ascii="方正楷体_GBK" w:hAnsi="方正楷体_GBK" w:eastAsia="方正楷体_GBK" w:cs="方正楷体_GBK"/>
                <w:b/>
                <w:bCs/>
                <w:color w:val="auto"/>
                <w:sz w:val="21"/>
                <w:szCs w:val="21"/>
              </w:rPr>
              <w:t>是否具备，每项满分1分（在□内打√）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restart"/>
            <w:tcBorders>
              <w:top w:val="single" w:color="auto" w:sz="4" w:space="0"/>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加分指标</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1</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企业加强碳管理，主动建立科学合理的温室气体排放统计制度、制定企业年度自主减排计划或积极参与碳标识、碳审计、碳认证等活动。</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2</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主动编制、发布企业社会责任（CSR）报告或环境、社会和公司治理（ESG）报告</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3</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企业完成污水输送明管化、雨水管网明渠化改造</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4</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完成管网明渠化改造</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是  □</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5</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完成排污权跨省域交易</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出让方□  受让方□</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6</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工业产品绿色设计示范企业</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7</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Fonts w:hint="default" w:ascii="Times New Roman" w:hAnsi="Times New Roman" w:eastAsia="方正仿宋_GBK" w:cs="Times New Roman"/>
                <w:b w:val="0"/>
                <w:bCs w:val="0"/>
                <w:snapToGrid/>
                <w:kern w:val="2"/>
                <w:sz w:val="21"/>
                <w:szCs w:val="21"/>
              </w:rPr>
            </w:pPr>
            <w:r>
              <w:rPr>
                <w:rStyle w:val="25"/>
                <w:rFonts w:hint="default" w:ascii="Times New Roman" w:hAnsi="Times New Roman" w:eastAsia="方正仿宋_GBK" w:cs="Times New Roman"/>
                <w:b w:val="0"/>
                <w:bCs w:val="0"/>
                <w:snapToGrid/>
                <w:color w:val="auto"/>
                <w:kern w:val="2"/>
                <w:sz w:val="21"/>
                <w:szCs w:val="21"/>
              </w:rPr>
              <w:t>绿色工厂</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8</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绿色供应链管理企业</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9</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绿色设计产品</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10</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无废工厂（集团）</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11</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kinsoku/>
              <w:wordWrap/>
              <w:overflowPunct/>
              <w:topLinePunct w:val="0"/>
              <w:autoSpaceDE/>
              <w:autoSpaceDN/>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重点用水企业水效“领跑者”</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12</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kinsoku/>
              <w:wordWrap/>
              <w:overflowPunct/>
              <w:topLinePunct w:val="0"/>
              <w:autoSpaceDE/>
              <w:autoSpaceDN/>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再生资源综合利用行业规范条件企业</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1" w:type="dxa"/>
            <w:vMerge w:val="continue"/>
            <w:tcBorders>
              <w:left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textAlignment w:val="auto"/>
              <w:rPr>
                <w:rFonts w:hint="default" w:ascii="Times New Roman" w:hAnsi="Times New Roman" w:eastAsia="方正仿宋_GBK" w:cs="Times New Roman"/>
                <w:b w:val="0"/>
                <w:bCs w:val="0"/>
              </w:rPr>
            </w:pP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13</w:t>
            </w:r>
          </w:p>
        </w:tc>
        <w:tc>
          <w:tcPr>
            <w:tcW w:w="407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left"/>
              <w:textAlignment w:val="auto"/>
              <w:rPr>
                <w:rStyle w:val="25"/>
                <w:rFonts w:hint="default" w:ascii="Times New Roman" w:hAnsi="Times New Roman" w:eastAsia="方正仿宋_GBK" w:cs="Times New Roman"/>
                <w:b w:val="0"/>
                <w:bCs w:val="0"/>
                <w:snapToGrid/>
                <w:color w:val="auto"/>
                <w:kern w:val="2"/>
                <w:sz w:val="21"/>
                <w:szCs w:val="21"/>
              </w:rPr>
            </w:pPr>
            <w:r>
              <w:rPr>
                <w:rStyle w:val="25"/>
                <w:rFonts w:hint="default" w:ascii="Times New Roman" w:hAnsi="Times New Roman" w:eastAsia="方正仿宋_GBK" w:cs="Times New Roman"/>
                <w:b w:val="0"/>
                <w:bCs w:val="0"/>
                <w:snapToGrid/>
                <w:color w:val="auto"/>
                <w:kern w:val="2"/>
                <w:sz w:val="21"/>
                <w:szCs w:val="21"/>
              </w:rPr>
              <w:t>重点用能行业能效“领跑者”企业</w:t>
            </w:r>
          </w:p>
        </w:tc>
        <w:tc>
          <w:tcPr>
            <w:tcW w:w="2511"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国家□  省□  市□</w:t>
            </w:r>
          </w:p>
        </w:tc>
        <w:tc>
          <w:tcPr>
            <w:tcW w:w="1689"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501"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实际总得分</w:t>
            </w:r>
          </w:p>
        </w:tc>
        <w:tc>
          <w:tcPr>
            <w:tcW w:w="4200" w:type="dxa"/>
            <w:gridSpan w:val="4"/>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jc w:val="center"/>
              <w:textAlignment w:val="auto"/>
              <w:rPr>
                <w:rFonts w:hint="default" w:ascii="Times New Roman" w:hAnsi="Times New Roman" w:eastAsia="方正仿宋_GBK" w:cs="Times New Roman"/>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701"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申报材料真实性承诺：</w:t>
            </w:r>
          </w:p>
          <w:p>
            <w:pPr>
              <w:keepNext w:val="0"/>
              <w:keepLines w:val="0"/>
              <w:pageBreakBefore w:val="0"/>
              <w:kinsoku/>
              <w:wordWrap/>
              <w:overflowPunct/>
              <w:topLinePunct w:val="0"/>
              <w:bidi w:val="0"/>
              <w:adjustRightInd w:val="0"/>
              <w:snapToGrid w:val="0"/>
              <w:spacing w:line="240" w:lineRule="auto"/>
              <w:ind w:firstLine="420" w:firstLineChars="20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我单位郑重承诺：本次申报所提交的相关数据和信息真实、有效，愿接受并积极配合主管部门的监督抽查和核验。如有违反，愿承担由此产生的相应责任。</w:t>
            </w:r>
          </w:p>
          <w:p>
            <w:pPr>
              <w:keepNext w:val="0"/>
              <w:keepLines w:val="0"/>
              <w:pageBreakBefore w:val="0"/>
              <w:kinsoku/>
              <w:wordWrap/>
              <w:overflowPunct/>
              <w:topLinePunct w:val="0"/>
              <w:bidi w:val="0"/>
              <w:adjustRightInd w:val="0"/>
              <w:snapToGrid w:val="0"/>
              <w:spacing w:line="240" w:lineRule="auto"/>
              <w:ind w:firstLine="420" w:firstLineChars="200"/>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0"/>
              <w:jc w:val="center"/>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5040" w:firstLineChars="240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法定代表人或单位负责人签字：</w:t>
            </w:r>
          </w:p>
          <w:p>
            <w:pPr>
              <w:keepNext w:val="0"/>
              <w:keepLines w:val="0"/>
              <w:pageBreakBefore w:val="0"/>
              <w:kinsoku/>
              <w:wordWrap/>
              <w:overflowPunct/>
              <w:topLinePunct w:val="0"/>
              <w:bidi w:val="0"/>
              <w:adjustRightInd w:val="0"/>
              <w:snapToGrid w:val="0"/>
              <w:spacing w:line="240" w:lineRule="auto"/>
              <w:ind w:firstLine="5040" w:firstLineChars="240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（公章）</w:t>
            </w:r>
          </w:p>
          <w:p>
            <w:pPr>
              <w:keepNext w:val="0"/>
              <w:keepLines w:val="0"/>
              <w:pageBreakBefore w:val="0"/>
              <w:kinsoku/>
              <w:wordWrap/>
              <w:overflowPunct/>
              <w:topLinePunct w:val="0"/>
              <w:bidi w:val="0"/>
              <w:adjustRightInd w:val="0"/>
              <w:snapToGrid w:val="0"/>
              <w:spacing w:line="240" w:lineRule="auto"/>
              <w:ind w:firstLine="5040" w:firstLineChars="2400"/>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972"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县（区）生态环境部门初审意见：</w:t>
            </w:r>
          </w:p>
          <w:p>
            <w:pPr>
              <w:pStyle w:val="20"/>
              <w:keepNext w:val="0"/>
              <w:keepLines w:val="0"/>
              <w:pageBreakBefore w:val="0"/>
              <w:kinsoku/>
              <w:wordWrap/>
              <w:overflowPunct/>
              <w:topLinePunct w:val="0"/>
              <w:bidi w:val="0"/>
              <w:adjustRightInd w:val="0"/>
              <w:snapToGrid w:val="0"/>
              <w:ind w:firstLine="422"/>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2520" w:firstLineChars="120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（公章）</w:t>
            </w:r>
          </w:p>
          <w:p>
            <w:pPr>
              <w:keepNext w:val="0"/>
              <w:keepLines w:val="0"/>
              <w:pageBreakBefore w:val="0"/>
              <w:kinsoku/>
              <w:wordWrap/>
              <w:overflowPunct/>
              <w:topLinePunct w:val="0"/>
              <w:bidi w:val="0"/>
              <w:adjustRightInd w:val="0"/>
              <w:snapToGrid w:val="0"/>
              <w:spacing w:line="240" w:lineRule="auto"/>
              <w:ind w:firstLine="2520" w:firstLineChars="1200"/>
              <w:textAlignment w:val="auto"/>
              <w:rPr>
                <w:rFonts w:hint="default" w:ascii="Times New Roman" w:hAnsi="Times New Roman" w:eastAsia="方正仿宋_GBK" w:cs="Times New Roman"/>
                <w:b w:val="0"/>
                <w:bCs w:val="0"/>
                <w:snapToGrid/>
                <w:sz w:val="21"/>
                <w:szCs w:val="21"/>
              </w:rPr>
            </w:pPr>
            <w:r>
              <w:rPr>
                <w:rStyle w:val="25"/>
                <w:rFonts w:hint="default" w:ascii="Times New Roman" w:hAnsi="Times New Roman" w:eastAsia="方正仿宋_GBK" w:cs="Times New Roman"/>
                <w:b w:val="0"/>
                <w:bCs w:val="0"/>
                <w:color w:val="auto"/>
                <w:sz w:val="21"/>
                <w:szCs w:val="21"/>
              </w:rPr>
              <w:t>日期：</w:t>
            </w:r>
          </w:p>
        </w:tc>
        <w:tc>
          <w:tcPr>
            <w:tcW w:w="5729"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市级生态环境部门复核意见：</w:t>
            </w:r>
          </w:p>
          <w:p>
            <w:pPr>
              <w:pStyle w:val="20"/>
              <w:keepNext w:val="0"/>
              <w:keepLines w:val="0"/>
              <w:pageBreakBefore w:val="0"/>
              <w:kinsoku/>
              <w:wordWrap/>
              <w:overflowPunct/>
              <w:topLinePunct w:val="0"/>
              <w:bidi w:val="0"/>
              <w:adjustRightInd w:val="0"/>
              <w:snapToGrid w:val="0"/>
              <w:ind w:firstLine="422"/>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2520" w:firstLineChars="120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（公章）</w:t>
            </w:r>
          </w:p>
          <w:p>
            <w:pPr>
              <w:keepNext w:val="0"/>
              <w:keepLines w:val="0"/>
              <w:pageBreakBefore w:val="0"/>
              <w:kinsoku/>
              <w:wordWrap/>
              <w:overflowPunct/>
              <w:topLinePunct w:val="0"/>
              <w:bidi w:val="0"/>
              <w:adjustRightInd w:val="0"/>
              <w:snapToGrid w:val="0"/>
              <w:spacing w:line="240" w:lineRule="auto"/>
              <w:ind w:firstLine="2520" w:firstLineChars="1200"/>
              <w:textAlignment w:val="auto"/>
              <w:rPr>
                <w:rFonts w:hint="default" w:ascii="Times New Roman" w:hAnsi="Times New Roman" w:eastAsia="方正仿宋_GBK" w:cs="Times New Roman"/>
                <w:b w:val="0"/>
                <w:bCs w:val="0"/>
                <w:sz w:val="21"/>
                <w:szCs w:val="21"/>
              </w:rPr>
            </w:pPr>
            <w:r>
              <w:rPr>
                <w:rStyle w:val="25"/>
                <w:rFonts w:hint="default" w:ascii="Times New Roman" w:hAnsi="Times New Roman" w:eastAsia="方正仿宋_GBK" w:cs="Times New Roman"/>
                <w:b w:val="0"/>
                <w:bCs w:val="0"/>
                <w:color w:val="auto"/>
                <w:sz w:val="21"/>
                <w:szCs w:val="21"/>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701"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p>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r>
              <w:rPr>
                <w:rStyle w:val="25"/>
                <w:rFonts w:hint="default" w:ascii="Times New Roman" w:hAnsi="Times New Roman" w:eastAsia="方正仿宋_GBK" w:cs="Times New Roman"/>
                <w:b w:val="0"/>
                <w:bCs w:val="0"/>
                <w:color w:val="auto"/>
                <w:sz w:val="21"/>
                <w:szCs w:val="21"/>
              </w:rPr>
              <w:t>备注：</w:t>
            </w:r>
          </w:p>
          <w:p>
            <w:pPr>
              <w:keepNext w:val="0"/>
              <w:keepLines w:val="0"/>
              <w:pageBreakBefore w:val="0"/>
              <w:kinsoku/>
              <w:wordWrap/>
              <w:overflowPunct/>
              <w:topLinePunct w:val="0"/>
              <w:bidi w:val="0"/>
              <w:adjustRightInd w:val="0"/>
              <w:snapToGrid w:val="0"/>
              <w:spacing w:line="240" w:lineRule="auto"/>
              <w:ind w:firstLine="0"/>
              <w:textAlignment w:val="auto"/>
              <w:rPr>
                <w:rStyle w:val="25"/>
                <w:rFonts w:hint="default" w:ascii="Times New Roman" w:hAnsi="Times New Roman" w:eastAsia="方正仿宋_GBK" w:cs="Times New Roman"/>
                <w:b w:val="0"/>
                <w:bCs w:val="0"/>
                <w:color w:val="auto"/>
                <w:sz w:val="21"/>
                <w:szCs w:val="21"/>
              </w:rPr>
            </w:pPr>
          </w:p>
        </w:tc>
      </w:tr>
    </w:tbl>
    <w:p>
      <w:pPr>
        <w:spacing w:line="80" w:lineRule="exact"/>
        <w:ind w:firstLine="0"/>
        <w:rPr>
          <w:szCs w:val="32"/>
        </w:rPr>
      </w:pPr>
      <w:r>
        <w:rPr>
          <w:szCs w:val="32"/>
        </w:rPr>
        <w:br w:type="page"/>
      </w:r>
    </w:p>
    <w:p>
      <w:pPr>
        <w:adjustRightInd w:val="0"/>
        <w:spacing w:before="468" w:beforeLines="150" w:line="590" w:lineRule="exact"/>
        <w:ind w:firstLine="0"/>
        <w:jc w:val="center"/>
        <w:rPr>
          <w:rFonts w:eastAsia="方正小标宋_GBK" w:cs="宋体"/>
          <w:snapToGrid/>
          <w:color w:val="000000"/>
          <w:spacing w:val="-4"/>
          <w:sz w:val="44"/>
          <w:szCs w:val="32"/>
        </w:rPr>
      </w:pPr>
    </w:p>
    <w:p>
      <w:pPr>
        <w:adjustRightInd w:val="0"/>
        <w:spacing w:line="590" w:lineRule="exact"/>
        <w:ind w:firstLine="0"/>
        <w:jc w:val="center"/>
        <w:rPr>
          <w:rFonts w:eastAsia="方正小标宋_GBK" w:cs="宋体"/>
          <w:snapToGrid/>
          <w:color w:val="000000"/>
          <w:spacing w:val="-4"/>
          <w:sz w:val="44"/>
          <w:szCs w:val="32"/>
        </w:rPr>
      </w:pPr>
      <w:r>
        <w:rPr>
          <w:rFonts w:hint="eastAsia" w:eastAsia="方正小标宋_GBK" w:cs="宋体"/>
          <w:snapToGrid/>
          <w:color w:val="000000"/>
          <w:spacing w:val="-4"/>
          <w:sz w:val="44"/>
          <w:szCs w:val="32"/>
        </w:rPr>
        <w:t>自</w:t>
      </w:r>
      <w:r>
        <w:rPr>
          <w:rFonts w:hint="eastAsia" w:eastAsia="方正小标宋_GBK" w:cs="宋体"/>
          <w:snapToGrid/>
          <w:color w:val="000000"/>
          <w:spacing w:val="-4"/>
          <w:sz w:val="44"/>
          <w:szCs w:val="32"/>
          <w:lang w:val="en-US" w:eastAsia="zh-CN"/>
        </w:rPr>
        <w:t xml:space="preserve"> </w:t>
      </w:r>
      <w:r>
        <w:rPr>
          <w:rFonts w:hint="eastAsia" w:eastAsia="方正小标宋_GBK" w:cs="宋体"/>
          <w:snapToGrid/>
          <w:color w:val="000000"/>
          <w:spacing w:val="-4"/>
          <w:sz w:val="44"/>
          <w:szCs w:val="32"/>
        </w:rPr>
        <w:t>评</w:t>
      </w:r>
      <w:r>
        <w:rPr>
          <w:rFonts w:hint="eastAsia" w:eastAsia="方正小标宋_GBK" w:cs="宋体"/>
          <w:snapToGrid/>
          <w:color w:val="000000"/>
          <w:spacing w:val="-4"/>
          <w:sz w:val="44"/>
          <w:szCs w:val="32"/>
          <w:lang w:val="en-US" w:eastAsia="zh-CN"/>
        </w:rPr>
        <w:t xml:space="preserve"> </w:t>
      </w:r>
      <w:r>
        <w:rPr>
          <w:rFonts w:hint="eastAsia" w:eastAsia="方正小标宋_GBK" w:cs="宋体"/>
          <w:snapToGrid/>
          <w:color w:val="000000"/>
          <w:spacing w:val="-4"/>
          <w:sz w:val="44"/>
          <w:szCs w:val="32"/>
        </w:rPr>
        <w:t>报</w:t>
      </w:r>
      <w:r>
        <w:rPr>
          <w:rFonts w:hint="eastAsia" w:eastAsia="方正小标宋_GBK" w:cs="宋体"/>
          <w:snapToGrid/>
          <w:color w:val="000000"/>
          <w:spacing w:val="-4"/>
          <w:sz w:val="44"/>
          <w:szCs w:val="32"/>
          <w:lang w:val="en-US" w:eastAsia="zh-CN"/>
        </w:rPr>
        <w:t xml:space="preserve"> </w:t>
      </w:r>
      <w:r>
        <w:rPr>
          <w:rFonts w:hint="eastAsia" w:eastAsia="方正小标宋_GBK" w:cs="宋体"/>
          <w:snapToGrid/>
          <w:color w:val="000000"/>
          <w:spacing w:val="-4"/>
          <w:sz w:val="44"/>
          <w:szCs w:val="32"/>
        </w:rPr>
        <w:t>告</w:t>
      </w:r>
    </w:p>
    <w:p>
      <w:pPr>
        <w:pStyle w:val="11"/>
        <w:adjustRightInd w:val="0"/>
        <w:snapToGrid w:val="0"/>
        <w:spacing w:before="0" w:beforeAutospacing="0" w:after="0" w:afterAutospacing="0" w:line="590" w:lineRule="exact"/>
        <w:jc w:val="center"/>
        <w:rPr>
          <w:rFonts w:ascii="Times New Roman" w:eastAsia="黑体" w:cs="Times New Roman"/>
          <w:color w:val="000000"/>
          <w:sz w:val="32"/>
          <w:szCs w:val="32"/>
        </w:rPr>
      </w:pPr>
    </w:p>
    <w:p>
      <w:pPr>
        <w:pStyle w:val="11"/>
        <w:adjustRightInd w:val="0"/>
        <w:snapToGrid w:val="0"/>
        <w:spacing w:before="0" w:beforeAutospacing="0" w:after="0" w:afterAutospacing="0" w:line="590" w:lineRule="exact"/>
        <w:ind w:firstLine="640" w:firstLineChars="200"/>
        <w:rPr>
          <w:rFonts w:ascii="Times New Roman" w:eastAsia="黑体" w:cs="Times New Roman"/>
          <w:color w:val="000000"/>
          <w:sz w:val="32"/>
          <w:szCs w:val="32"/>
        </w:rPr>
      </w:pPr>
      <w:r>
        <w:rPr>
          <w:rFonts w:ascii="Times New Roman" w:eastAsia="黑体" w:cs="Times New Roman"/>
          <w:color w:val="000000"/>
          <w:sz w:val="32"/>
          <w:szCs w:val="32"/>
        </w:rPr>
        <w:t>一、企业基本情况</w:t>
      </w:r>
    </w:p>
    <w:p>
      <w:pPr>
        <w:adjustRightInd w:val="0"/>
        <w:spacing w:line="590" w:lineRule="exact"/>
        <w:ind w:firstLine="640" w:firstLineChars="200"/>
        <w:rPr>
          <w:color w:val="000000"/>
          <w:szCs w:val="32"/>
        </w:rPr>
      </w:pPr>
      <w:r>
        <w:rPr>
          <w:rFonts w:hint="eastAsia"/>
          <w:color w:val="000000"/>
          <w:szCs w:val="32"/>
        </w:rPr>
        <w:t>包括</w:t>
      </w:r>
      <w:r>
        <w:rPr>
          <w:color w:val="000000"/>
          <w:szCs w:val="32"/>
        </w:rPr>
        <w:t>企业基本</w:t>
      </w:r>
      <w:r>
        <w:rPr>
          <w:rFonts w:hint="eastAsia"/>
          <w:color w:val="000000"/>
          <w:szCs w:val="32"/>
        </w:rPr>
        <w:t>情况</w:t>
      </w:r>
      <w:r>
        <w:rPr>
          <w:color w:val="000000"/>
          <w:szCs w:val="32"/>
        </w:rPr>
        <w:t>、环境管理、环保信用评价、生态环境应急以及社会责任等方面</w:t>
      </w:r>
      <w:r>
        <w:rPr>
          <w:rFonts w:hint="eastAsia"/>
          <w:color w:val="000000"/>
          <w:szCs w:val="32"/>
        </w:rPr>
        <w:t>内容</w:t>
      </w:r>
      <w:r>
        <w:rPr>
          <w:color w:val="000000"/>
          <w:szCs w:val="32"/>
        </w:rPr>
        <w:t>进行阐述。</w:t>
      </w:r>
    </w:p>
    <w:p>
      <w:pPr>
        <w:pStyle w:val="11"/>
        <w:numPr>
          <w:ilvl w:val="0"/>
          <w:numId w:val="3"/>
        </w:numPr>
        <w:adjustRightInd w:val="0"/>
        <w:snapToGrid w:val="0"/>
        <w:spacing w:before="0" w:beforeAutospacing="0" w:after="0" w:afterAutospacing="0" w:line="590" w:lineRule="exact"/>
        <w:ind w:firstLine="640" w:firstLineChars="200"/>
        <w:rPr>
          <w:rFonts w:ascii="Times New Roman" w:eastAsia="黑体" w:cs="Times New Roman"/>
          <w:color w:val="000000"/>
          <w:sz w:val="32"/>
          <w:szCs w:val="32"/>
        </w:rPr>
      </w:pPr>
      <w:r>
        <w:rPr>
          <w:rFonts w:ascii="Times New Roman" w:eastAsia="黑体" w:cs="Times New Roman"/>
          <w:color w:val="000000"/>
          <w:sz w:val="32"/>
          <w:szCs w:val="32"/>
        </w:rPr>
        <w:t>企业绿色发展情况</w:t>
      </w:r>
    </w:p>
    <w:p>
      <w:pPr>
        <w:pStyle w:val="11"/>
        <w:widowControl w:val="0"/>
        <w:adjustRightInd w:val="0"/>
        <w:snapToGrid w:val="0"/>
        <w:spacing w:before="0" w:beforeAutospacing="0" w:after="0" w:afterAutospacing="0" w:line="590" w:lineRule="exact"/>
        <w:ind w:firstLine="640" w:firstLineChars="200"/>
        <w:rPr>
          <w:rFonts w:ascii="Times New Roman" w:eastAsia="方正仿宋_GBK" w:cs="Times New Roman"/>
          <w:color w:val="000000"/>
          <w:sz w:val="32"/>
          <w:szCs w:val="32"/>
        </w:rPr>
      </w:pPr>
      <w:r>
        <w:rPr>
          <w:rFonts w:hint="eastAsia" w:ascii="Times New Roman" w:eastAsia="方正仿宋_GBK" w:cs="Times New Roman"/>
          <w:color w:val="000000"/>
          <w:sz w:val="32"/>
          <w:szCs w:val="32"/>
        </w:rPr>
        <w:t>围绕</w:t>
      </w:r>
      <w:r>
        <w:rPr>
          <w:rFonts w:ascii="Times New Roman" w:eastAsia="方正仿宋_GBK" w:cs="Times New Roman"/>
          <w:color w:val="000000"/>
          <w:sz w:val="32"/>
          <w:szCs w:val="32"/>
        </w:rPr>
        <w:t>企业的工艺装备、</w:t>
      </w:r>
      <w:r>
        <w:rPr>
          <w:rFonts w:hint="eastAsia" w:ascii="Times New Roman" w:eastAsia="方正仿宋_GBK" w:cs="Times New Roman"/>
          <w:color w:val="000000"/>
          <w:sz w:val="32"/>
          <w:szCs w:val="32"/>
        </w:rPr>
        <w:t>资源集约</w:t>
      </w:r>
      <w:r>
        <w:rPr>
          <w:rFonts w:ascii="Times New Roman" w:eastAsia="方正仿宋_GBK" w:cs="Times New Roman"/>
          <w:color w:val="000000"/>
          <w:sz w:val="32"/>
          <w:szCs w:val="32"/>
        </w:rPr>
        <w:t>、循环利用和</w:t>
      </w:r>
      <w:r>
        <w:rPr>
          <w:rFonts w:hint="eastAsia" w:ascii="Times New Roman" w:eastAsia="方正仿宋_GBK" w:cs="Times New Roman"/>
          <w:color w:val="000000"/>
          <w:sz w:val="32"/>
          <w:szCs w:val="32"/>
        </w:rPr>
        <w:t>减污降碳</w:t>
      </w:r>
      <w:r>
        <w:rPr>
          <w:rFonts w:ascii="Times New Roman" w:eastAsia="方正仿宋_GBK" w:cs="Times New Roman"/>
          <w:color w:val="000000"/>
          <w:sz w:val="32"/>
          <w:szCs w:val="32"/>
        </w:rPr>
        <w:t>等</w:t>
      </w:r>
      <w:r>
        <w:rPr>
          <w:rFonts w:hint="eastAsia" w:ascii="Times New Roman" w:eastAsia="方正仿宋_GBK" w:cs="Times New Roman"/>
          <w:color w:val="000000"/>
          <w:sz w:val="32"/>
          <w:szCs w:val="32"/>
        </w:rPr>
        <w:t>方面</w:t>
      </w:r>
      <w:r>
        <w:rPr>
          <w:rFonts w:ascii="Times New Roman" w:eastAsia="方正仿宋_GBK" w:cs="Times New Roman"/>
          <w:color w:val="000000"/>
          <w:sz w:val="32"/>
          <w:szCs w:val="32"/>
        </w:rPr>
        <w:t>进行</w:t>
      </w:r>
      <w:r>
        <w:rPr>
          <w:rFonts w:hint="eastAsia" w:ascii="Times New Roman" w:eastAsia="方正仿宋_GBK" w:cs="Times New Roman"/>
          <w:color w:val="000000"/>
          <w:sz w:val="32"/>
          <w:szCs w:val="32"/>
        </w:rPr>
        <w:t>阐述</w:t>
      </w:r>
      <w:r>
        <w:rPr>
          <w:rFonts w:ascii="Times New Roman" w:eastAsia="方正仿宋_GBK" w:cs="Times New Roman"/>
          <w:color w:val="000000"/>
          <w:sz w:val="32"/>
          <w:szCs w:val="32"/>
        </w:rPr>
        <w:t>。</w:t>
      </w:r>
    </w:p>
    <w:p>
      <w:pPr>
        <w:adjustRightInd w:val="0"/>
        <w:spacing w:line="590" w:lineRule="exact"/>
        <w:ind w:firstLine="640" w:firstLineChars="200"/>
        <w:rPr>
          <w:rFonts w:eastAsia="方正楷体_GBK"/>
          <w:color w:val="000000"/>
          <w:szCs w:val="32"/>
        </w:rPr>
      </w:pPr>
      <w:r>
        <w:rPr>
          <w:rFonts w:eastAsia="方正楷体_GBK"/>
          <w:color w:val="000000"/>
          <w:szCs w:val="32"/>
        </w:rPr>
        <w:t>（一）工艺装备</w:t>
      </w:r>
    </w:p>
    <w:p>
      <w:pPr>
        <w:adjustRightInd w:val="0"/>
        <w:spacing w:line="590" w:lineRule="exact"/>
        <w:ind w:firstLine="640" w:firstLineChars="200"/>
        <w:rPr>
          <w:color w:val="000000"/>
          <w:szCs w:val="32"/>
        </w:rPr>
      </w:pPr>
      <w:r>
        <w:rPr>
          <w:color w:val="000000"/>
          <w:szCs w:val="32"/>
        </w:rPr>
        <w:t>介绍企业</w:t>
      </w:r>
      <w:r>
        <w:rPr>
          <w:rFonts w:hint="eastAsia"/>
          <w:szCs w:val="32"/>
        </w:rPr>
        <w:t>生产工艺水平、通用装备运行效率</w:t>
      </w:r>
      <w:r>
        <w:rPr>
          <w:rFonts w:hint="eastAsia"/>
          <w:color w:val="000000"/>
          <w:szCs w:val="32"/>
        </w:rPr>
        <w:t>的先进性</w:t>
      </w:r>
      <w:r>
        <w:rPr>
          <w:color w:val="000000"/>
          <w:szCs w:val="32"/>
        </w:rPr>
        <w:t>，开展的重点工作以及取得的成绩。</w:t>
      </w:r>
    </w:p>
    <w:p>
      <w:pPr>
        <w:adjustRightInd w:val="0"/>
        <w:spacing w:line="590" w:lineRule="exact"/>
        <w:ind w:firstLine="640" w:firstLineChars="200"/>
        <w:rPr>
          <w:rFonts w:eastAsia="方正楷体_GBK"/>
          <w:color w:val="000000"/>
          <w:szCs w:val="32"/>
        </w:rPr>
      </w:pPr>
      <w:r>
        <w:rPr>
          <w:rFonts w:eastAsia="方正楷体_GBK"/>
          <w:color w:val="000000"/>
          <w:szCs w:val="32"/>
        </w:rPr>
        <w:t>（二）</w:t>
      </w:r>
      <w:r>
        <w:rPr>
          <w:rFonts w:hint="eastAsia" w:eastAsia="方正楷体_GBK"/>
          <w:color w:val="000000"/>
          <w:szCs w:val="32"/>
        </w:rPr>
        <w:t>资源集约</w:t>
      </w:r>
    </w:p>
    <w:p>
      <w:pPr>
        <w:adjustRightInd w:val="0"/>
        <w:spacing w:line="590" w:lineRule="exact"/>
        <w:ind w:firstLine="640" w:firstLineChars="200"/>
        <w:rPr>
          <w:color w:val="000000"/>
          <w:szCs w:val="32"/>
        </w:rPr>
      </w:pPr>
      <w:r>
        <w:rPr>
          <w:color w:val="000000"/>
          <w:szCs w:val="32"/>
        </w:rPr>
        <w:t>介绍</w:t>
      </w:r>
      <w:r>
        <w:rPr>
          <w:rFonts w:hint="eastAsia"/>
          <w:color w:val="000000"/>
          <w:szCs w:val="32"/>
        </w:rPr>
        <w:t>企业</w:t>
      </w:r>
      <w:r>
        <w:rPr>
          <w:rFonts w:hint="eastAsia"/>
          <w:szCs w:val="32"/>
        </w:rPr>
        <w:t>单位产值综合能耗、单位产值用新水量、土地产出率</w:t>
      </w:r>
      <w:r>
        <w:rPr>
          <w:rFonts w:hint="eastAsia"/>
          <w:color w:val="000000"/>
          <w:szCs w:val="32"/>
        </w:rPr>
        <w:t>的先进性</w:t>
      </w:r>
      <w:r>
        <w:rPr>
          <w:color w:val="000000"/>
          <w:szCs w:val="32"/>
        </w:rPr>
        <w:t>，开展的重点工作以及取得的成绩。</w:t>
      </w:r>
    </w:p>
    <w:p>
      <w:pPr>
        <w:adjustRightInd w:val="0"/>
        <w:spacing w:line="590" w:lineRule="exact"/>
        <w:ind w:firstLine="640" w:firstLineChars="200"/>
        <w:rPr>
          <w:rFonts w:eastAsia="方正楷体_GBK"/>
          <w:color w:val="000000"/>
          <w:szCs w:val="32"/>
        </w:rPr>
      </w:pPr>
      <w:r>
        <w:rPr>
          <w:rFonts w:eastAsia="方正楷体_GBK"/>
          <w:color w:val="000000"/>
          <w:szCs w:val="32"/>
        </w:rPr>
        <w:t>（三）循环利用</w:t>
      </w:r>
    </w:p>
    <w:p>
      <w:pPr>
        <w:adjustRightInd w:val="0"/>
        <w:spacing w:line="590" w:lineRule="exact"/>
        <w:ind w:firstLine="640" w:firstLineChars="200"/>
        <w:rPr>
          <w:color w:val="000000"/>
          <w:szCs w:val="32"/>
        </w:rPr>
      </w:pPr>
      <w:r>
        <w:rPr>
          <w:color w:val="000000"/>
          <w:szCs w:val="32"/>
        </w:rPr>
        <w:t>介绍</w:t>
      </w:r>
      <w:r>
        <w:rPr>
          <w:rFonts w:hint="eastAsia"/>
          <w:color w:val="000000"/>
          <w:szCs w:val="32"/>
        </w:rPr>
        <w:t>企业</w:t>
      </w:r>
      <w:r>
        <w:rPr>
          <w:color w:val="000000"/>
          <w:szCs w:val="32"/>
        </w:rPr>
        <w:t>产品</w:t>
      </w:r>
      <w:r>
        <w:rPr>
          <w:rFonts w:hint="eastAsia"/>
          <w:szCs w:val="32"/>
        </w:rPr>
        <w:t>可回收利用、减少有害物质使用、固体废物资源化综合利用</w:t>
      </w:r>
      <w:r>
        <w:rPr>
          <w:rFonts w:hint="eastAsia"/>
          <w:color w:val="000000"/>
          <w:szCs w:val="32"/>
        </w:rPr>
        <w:t>等方面的水平</w:t>
      </w:r>
      <w:r>
        <w:rPr>
          <w:color w:val="000000"/>
          <w:szCs w:val="32"/>
        </w:rPr>
        <w:t>，开展的重点工作以及取得的成绩。</w:t>
      </w:r>
    </w:p>
    <w:p>
      <w:pPr>
        <w:adjustRightInd w:val="0"/>
        <w:spacing w:line="590" w:lineRule="exact"/>
        <w:ind w:firstLine="640" w:firstLineChars="200"/>
        <w:rPr>
          <w:rFonts w:eastAsia="方正楷体_GBK"/>
          <w:color w:val="000000"/>
          <w:szCs w:val="32"/>
        </w:rPr>
      </w:pPr>
      <w:r>
        <w:rPr>
          <w:rFonts w:eastAsia="方正楷体_GBK"/>
          <w:color w:val="000000"/>
          <w:szCs w:val="32"/>
        </w:rPr>
        <w:t>（四）</w:t>
      </w:r>
      <w:r>
        <w:rPr>
          <w:rFonts w:hint="eastAsia" w:eastAsia="方正楷体_GBK"/>
          <w:color w:val="000000"/>
          <w:szCs w:val="32"/>
        </w:rPr>
        <w:t>减污降碳</w:t>
      </w:r>
    </w:p>
    <w:p>
      <w:pPr>
        <w:adjustRightInd w:val="0"/>
        <w:spacing w:line="590" w:lineRule="exact"/>
        <w:ind w:firstLine="640" w:firstLineChars="200"/>
        <w:rPr>
          <w:color w:val="000000"/>
          <w:szCs w:val="32"/>
        </w:rPr>
      </w:pPr>
      <w:r>
        <w:rPr>
          <w:color w:val="000000"/>
          <w:szCs w:val="32"/>
        </w:rPr>
        <w:t>介绍</w:t>
      </w:r>
      <w:r>
        <w:rPr>
          <w:rFonts w:hint="eastAsia"/>
          <w:color w:val="000000"/>
          <w:szCs w:val="32"/>
        </w:rPr>
        <w:t>企业</w:t>
      </w:r>
      <w:r>
        <w:rPr>
          <w:rFonts w:hint="eastAsia"/>
          <w:szCs w:val="32"/>
        </w:rPr>
        <w:t>水污染物排放强度、大气污染物排放强度、单位产品碳排放</w:t>
      </w:r>
      <w:r>
        <w:rPr>
          <w:rFonts w:hint="eastAsia"/>
          <w:color w:val="000000"/>
          <w:szCs w:val="32"/>
        </w:rPr>
        <w:t>等方面情况</w:t>
      </w:r>
      <w:r>
        <w:rPr>
          <w:color w:val="000000"/>
          <w:szCs w:val="32"/>
        </w:rPr>
        <w:t>，开展的重点工作以及取得的成绩。</w:t>
      </w:r>
    </w:p>
    <w:p>
      <w:pPr>
        <w:adjustRightInd w:val="0"/>
        <w:spacing w:line="590" w:lineRule="exact"/>
        <w:ind w:firstLine="640" w:firstLineChars="200"/>
        <w:rPr>
          <w:color w:val="000000"/>
          <w:szCs w:val="32"/>
        </w:rPr>
      </w:pPr>
    </w:p>
    <w:p>
      <w:pPr>
        <w:pStyle w:val="11"/>
        <w:adjustRightInd w:val="0"/>
        <w:snapToGrid w:val="0"/>
        <w:spacing w:before="0" w:beforeAutospacing="0" w:after="0" w:afterAutospacing="0" w:line="590" w:lineRule="exact"/>
        <w:ind w:firstLine="640" w:firstLineChars="200"/>
        <w:rPr>
          <w:rFonts w:ascii="Times New Roman" w:eastAsia="黑体" w:cs="Times New Roman"/>
          <w:color w:val="000000"/>
          <w:sz w:val="32"/>
          <w:szCs w:val="32"/>
        </w:rPr>
      </w:pPr>
      <w:r>
        <w:rPr>
          <w:rFonts w:ascii="Times New Roman" w:eastAsia="黑体" w:cs="Times New Roman"/>
          <w:color w:val="000000"/>
          <w:sz w:val="32"/>
          <w:szCs w:val="32"/>
        </w:rPr>
        <w:t>三、经验总结</w:t>
      </w:r>
    </w:p>
    <w:p>
      <w:pPr>
        <w:adjustRightInd w:val="0"/>
        <w:spacing w:line="590" w:lineRule="exact"/>
        <w:ind w:firstLine="640" w:firstLineChars="200"/>
        <w:rPr>
          <w:color w:val="000000"/>
          <w:szCs w:val="32"/>
        </w:rPr>
      </w:pPr>
      <w:r>
        <w:rPr>
          <w:color w:val="000000"/>
          <w:szCs w:val="32"/>
        </w:rPr>
        <w:t>围绕企业开展的绿色发展工作和实施工程情况，凝练总结工作亮点和成效经验。</w:t>
      </w:r>
    </w:p>
    <w:p>
      <w:pPr>
        <w:pStyle w:val="11"/>
        <w:adjustRightInd w:val="0"/>
        <w:snapToGrid w:val="0"/>
        <w:spacing w:before="0" w:beforeAutospacing="0" w:after="0" w:afterAutospacing="0" w:line="590" w:lineRule="exact"/>
        <w:ind w:firstLine="640" w:firstLineChars="200"/>
        <w:rPr>
          <w:rFonts w:ascii="Times New Roman" w:eastAsia="黑体" w:cs="Times New Roman"/>
          <w:color w:val="000000"/>
          <w:sz w:val="32"/>
          <w:szCs w:val="32"/>
        </w:rPr>
      </w:pPr>
      <w:r>
        <w:rPr>
          <w:rFonts w:ascii="Times New Roman" w:eastAsia="黑体" w:cs="Times New Roman"/>
          <w:color w:val="000000"/>
          <w:sz w:val="32"/>
          <w:szCs w:val="32"/>
        </w:rPr>
        <w:t>四、</w:t>
      </w:r>
      <w:r>
        <w:rPr>
          <w:rFonts w:hint="eastAsia" w:ascii="Times New Roman" w:eastAsia="黑体" w:cs="Times New Roman"/>
          <w:color w:val="000000"/>
          <w:sz w:val="32"/>
          <w:szCs w:val="32"/>
        </w:rPr>
        <w:t>引领示范</w:t>
      </w:r>
    </w:p>
    <w:p>
      <w:pPr>
        <w:adjustRightInd w:val="0"/>
        <w:spacing w:line="590" w:lineRule="exact"/>
        <w:ind w:firstLine="640" w:firstLineChars="200"/>
        <w:rPr>
          <w:color w:val="000000"/>
          <w:szCs w:val="32"/>
        </w:rPr>
      </w:pPr>
      <w:r>
        <w:rPr>
          <w:color w:val="000000"/>
          <w:szCs w:val="32"/>
        </w:rPr>
        <w:t>企业在减污降碳</w:t>
      </w:r>
      <w:r>
        <w:rPr>
          <w:rFonts w:hint="eastAsia"/>
          <w:color w:val="000000"/>
          <w:szCs w:val="32"/>
        </w:rPr>
        <w:t>、</w:t>
      </w:r>
      <w:r>
        <w:rPr>
          <w:color w:val="000000"/>
          <w:szCs w:val="32"/>
        </w:rPr>
        <w:t>绿色转型、循环利用等方面</w:t>
      </w:r>
      <w:r>
        <w:rPr>
          <w:rFonts w:hint="eastAsia"/>
          <w:color w:val="000000"/>
          <w:szCs w:val="32"/>
        </w:rPr>
        <w:t>持续保持领先地位和发挥标杆示范作用的重点举措</w:t>
      </w:r>
      <w:r>
        <w:rPr>
          <w:color w:val="000000"/>
          <w:szCs w:val="32"/>
        </w:rPr>
        <w:t>。</w:t>
      </w:r>
    </w:p>
    <w:p>
      <w:pPr>
        <w:rPr>
          <w:color w:val="000000"/>
          <w:szCs w:val="32"/>
        </w:rPr>
      </w:pPr>
      <w:r>
        <w:rPr>
          <w:color w:val="000000"/>
          <w:szCs w:val="32"/>
        </w:rPr>
        <w:br w:type="page"/>
      </w:r>
    </w:p>
    <w:p>
      <w:pPr>
        <w:adjustRightInd w:val="0"/>
        <w:spacing w:line="590" w:lineRule="exact"/>
        <w:ind w:firstLine="640" w:firstLineChars="200"/>
        <w:rPr>
          <w:color w:val="000000"/>
          <w:szCs w:val="32"/>
        </w:rPr>
      </w:pPr>
    </w:p>
    <w:p>
      <w:pPr>
        <w:adjustRightInd w:val="0"/>
        <w:spacing w:line="590" w:lineRule="exact"/>
        <w:ind w:firstLine="0"/>
        <w:jc w:val="center"/>
        <w:rPr>
          <w:rFonts w:eastAsia="方正小标宋_GBK" w:cs="宋体"/>
          <w:snapToGrid/>
          <w:color w:val="000000"/>
          <w:spacing w:val="-4"/>
          <w:sz w:val="44"/>
          <w:szCs w:val="32"/>
        </w:rPr>
      </w:pPr>
      <w:r>
        <w:rPr>
          <w:rFonts w:hint="eastAsia" w:eastAsia="方正小标宋_GBK" w:cs="宋体"/>
          <w:snapToGrid/>
          <w:color w:val="000000"/>
          <w:spacing w:val="-4"/>
          <w:sz w:val="44"/>
          <w:szCs w:val="32"/>
        </w:rPr>
        <w:t>相关佐证材料</w:t>
      </w:r>
    </w:p>
    <w:p>
      <w:pPr>
        <w:adjustRightInd w:val="0"/>
        <w:spacing w:line="590" w:lineRule="exact"/>
        <w:ind w:firstLine="0"/>
        <w:jc w:val="center"/>
        <w:rPr>
          <w:rFonts w:eastAsia="方正小标宋_GBK" w:cs="宋体"/>
          <w:snapToGrid/>
          <w:color w:val="000000"/>
          <w:spacing w:val="-4"/>
          <w:sz w:val="44"/>
          <w:szCs w:val="32"/>
        </w:rPr>
      </w:pPr>
    </w:p>
    <w:p>
      <w:pPr>
        <w:adjustRightInd w:val="0"/>
        <w:spacing w:line="590" w:lineRule="exact"/>
        <w:ind w:firstLine="640" w:firstLineChars="200"/>
        <w:rPr>
          <w:color w:val="000000"/>
          <w:szCs w:val="32"/>
        </w:rPr>
      </w:pPr>
      <w:r>
        <w:rPr>
          <w:rFonts w:hint="eastAsia"/>
          <w:color w:val="000000"/>
          <w:szCs w:val="32"/>
        </w:rPr>
        <w:t>佐证材料</w:t>
      </w:r>
      <w:r>
        <w:rPr>
          <w:color w:val="000000"/>
          <w:szCs w:val="32"/>
        </w:rPr>
        <w:t>包括但不限于以下</w:t>
      </w:r>
      <w:r>
        <w:rPr>
          <w:rFonts w:hint="eastAsia"/>
          <w:color w:val="000000"/>
          <w:szCs w:val="32"/>
        </w:rPr>
        <w:t>内容</w:t>
      </w:r>
      <w:r>
        <w:rPr>
          <w:color w:val="000000"/>
          <w:szCs w:val="32"/>
        </w:rPr>
        <w:t>：</w:t>
      </w:r>
    </w:p>
    <w:p>
      <w:pPr>
        <w:pStyle w:val="11"/>
        <w:numPr>
          <w:ilvl w:val="255"/>
          <w:numId w:val="0"/>
        </w:numPr>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1</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企业营业执照复印件；</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2</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环境管理体系等管理体系认证证书；</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3</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企业</w:t>
      </w:r>
      <w:r>
        <w:rPr>
          <w:rFonts w:ascii="Times New Roman" w:eastAsia="方正仿宋_GBK" w:cs="Times New Roman"/>
          <w:snapToGrid w:val="0"/>
          <w:color w:val="000000"/>
          <w:sz w:val="32"/>
          <w:szCs w:val="32"/>
        </w:rPr>
        <w:t>按照管理要求，提供</w:t>
      </w:r>
      <w:r>
        <w:rPr>
          <w:rFonts w:hint="eastAsia" w:ascii="Times New Roman" w:eastAsia="方正仿宋_GBK" w:cs="Times New Roman"/>
          <w:snapToGrid w:val="0"/>
          <w:color w:val="000000"/>
          <w:sz w:val="32"/>
          <w:szCs w:val="32"/>
        </w:rPr>
        <w:t>通过清洁生产审核</w:t>
      </w:r>
      <w:r>
        <w:rPr>
          <w:rFonts w:ascii="Times New Roman" w:eastAsia="方正仿宋_GBK" w:cs="Times New Roman"/>
          <w:snapToGrid w:val="0"/>
          <w:color w:val="000000"/>
          <w:sz w:val="32"/>
          <w:szCs w:val="32"/>
        </w:rPr>
        <w:t>和开展环境信息披露</w:t>
      </w:r>
      <w:r>
        <w:rPr>
          <w:rFonts w:hint="eastAsia" w:ascii="Times New Roman" w:eastAsia="方正仿宋_GBK" w:cs="Times New Roman"/>
          <w:snapToGrid w:val="0"/>
          <w:color w:val="000000"/>
          <w:sz w:val="32"/>
          <w:szCs w:val="32"/>
        </w:rPr>
        <w:t>的证明材料；</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4</w:t>
      </w:r>
      <w:r>
        <w:rPr>
          <w:rFonts w:ascii="Times New Roman" w:eastAsia="方正仿宋_GBK" w:cs="Times New Roman"/>
          <w:snapToGrid w:val="0"/>
          <w:color w:val="000000"/>
          <w:sz w:val="32"/>
          <w:szCs w:val="32"/>
        </w:rPr>
        <w:t>、按照规定联网的</w:t>
      </w:r>
      <w:r>
        <w:rPr>
          <w:rFonts w:hint="eastAsia" w:ascii="Times New Roman" w:eastAsia="方正仿宋_GBK" w:cs="Times New Roman"/>
          <w:snapToGrid w:val="0"/>
          <w:color w:val="000000"/>
          <w:sz w:val="32"/>
          <w:szCs w:val="32"/>
        </w:rPr>
        <w:t>企业</w:t>
      </w:r>
      <w:r>
        <w:rPr>
          <w:rFonts w:ascii="Times New Roman" w:eastAsia="方正仿宋_GBK" w:cs="Times New Roman"/>
          <w:snapToGrid w:val="0"/>
          <w:color w:val="000000"/>
          <w:sz w:val="32"/>
          <w:szCs w:val="32"/>
        </w:rPr>
        <w:t>，提供</w:t>
      </w:r>
      <w:r>
        <w:rPr>
          <w:rFonts w:hint="eastAsia" w:ascii="Times New Roman" w:eastAsia="方正仿宋_GBK" w:cs="Times New Roman"/>
          <w:snapToGrid w:val="0"/>
          <w:color w:val="000000"/>
          <w:sz w:val="32"/>
          <w:szCs w:val="32"/>
        </w:rPr>
        <w:t>在线监测监控系统与生态环境部门联网证明材料；</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5</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生态环境守法状况良好，3年内未发生生态环境违法行为，未发生突发环境事件</w:t>
      </w:r>
      <w:r>
        <w:rPr>
          <w:rFonts w:ascii="Times New Roman" w:eastAsia="方正仿宋_GBK" w:cs="Times New Roman"/>
          <w:snapToGrid w:val="0"/>
          <w:color w:val="000000"/>
          <w:sz w:val="32"/>
          <w:szCs w:val="32"/>
        </w:rPr>
        <w:t>，不存在环境有效信访问题或被媒体曝光</w:t>
      </w:r>
      <w:r>
        <w:rPr>
          <w:rFonts w:hint="eastAsia" w:ascii="Times New Roman" w:eastAsia="方正仿宋_GBK" w:cs="Times New Roman"/>
          <w:snapToGrid w:val="0"/>
          <w:color w:val="000000"/>
          <w:sz w:val="32"/>
          <w:szCs w:val="32"/>
        </w:rPr>
        <w:t>证明材料；</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6</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企业信用和环保信用证明材料；</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7</w:t>
      </w:r>
      <w:r>
        <w:rPr>
          <w:rFonts w:ascii="Times New Roman" w:eastAsia="方正仿宋_GBK" w:cs="Times New Roman"/>
          <w:snapToGrid w:val="0"/>
          <w:color w:val="000000"/>
          <w:sz w:val="32"/>
          <w:szCs w:val="32"/>
        </w:rPr>
        <w:t>、有关</w:t>
      </w:r>
      <w:r>
        <w:rPr>
          <w:rFonts w:hint="eastAsia" w:ascii="Times New Roman" w:eastAsia="方正仿宋_GBK" w:cs="Times New Roman"/>
          <w:snapToGrid w:val="0"/>
          <w:color w:val="000000"/>
          <w:sz w:val="32"/>
          <w:szCs w:val="32"/>
        </w:rPr>
        <w:t>工艺装备、</w:t>
      </w:r>
      <w:r>
        <w:rPr>
          <w:rFonts w:ascii="Times New Roman" w:eastAsia="方正仿宋_GBK" w:cs="Times New Roman"/>
          <w:snapToGrid w:val="0"/>
          <w:color w:val="000000"/>
          <w:sz w:val="32"/>
          <w:szCs w:val="32"/>
        </w:rPr>
        <w:t>资源集约</w:t>
      </w:r>
      <w:r>
        <w:rPr>
          <w:rFonts w:hint="eastAsia" w:ascii="Times New Roman" w:eastAsia="方正仿宋_GBK" w:cs="Times New Roman"/>
          <w:snapToGrid w:val="0"/>
          <w:color w:val="000000"/>
          <w:sz w:val="32"/>
          <w:szCs w:val="32"/>
        </w:rPr>
        <w:t>、循环利用和</w:t>
      </w:r>
      <w:r>
        <w:rPr>
          <w:rFonts w:ascii="Times New Roman" w:eastAsia="方正仿宋_GBK" w:cs="Times New Roman"/>
          <w:snapToGrid w:val="0"/>
          <w:color w:val="000000"/>
          <w:sz w:val="32"/>
          <w:szCs w:val="32"/>
        </w:rPr>
        <w:t>减污降碳等</w:t>
      </w:r>
      <w:r>
        <w:rPr>
          <w:rFonts w:hint="eastAsia" w:ascii="Times New Roman" w:eastAsia="方正仿宋_GBK" w:cs="Times New Roman"/>
          <w:snapToGrid w:val="0"/>
          <w:color w:val="000000"/>
          <w:sz w:val="32"/>
          <w:szCs w:val="32"/>
        </w:rPr>
        <w:t>指标评定</w:t>
      </w:r>
      <w:r>
        <w:rPr>
          <w:rFonts w:ascii="Times New Roman" w:eastAsia="方正仿宋_GBK" w:cs="Times New Roman"/>
          <w:snapToGrid w:val="0"/>
          <w:color w:val="000000"/>
          <w:sz w:val="32"/>
          <w:szCs w:val="32"/>
        </w:rPr>
        <w:t>的证明</w:t>
      </w:r>
      <w:r>
        <w:rPr>
          <w:rFonts w:hint="eastAsia" w:ascii="Times New Roman" w:eastAsia="方正仿宋_GBK" w:cs="Times New Roman"/>
          <w:snapToGrid w:val="0"/>
          <w:color w:val="000000"/>
          <w:sz w:val="32"/>
          <w:szCs w:val="32"/>
        </w:rPr>
        <w:t>材料；</w:t>
      </w:r>
    </w:p>
    <w:p>
      <w:pPr>
        <w:pStyle w:val="11"/>
        <w:adjustRightInd w:val="0"/>
        <w:snapToGrid w:val="0"/>
        <w:spacing w:before="0" w:beforeAutospacing="0" w:after="0" w:afterAutospacing="0" w:line="590" w:lineRule="exact"/>
        <w:ind w:firstLine="640" w:firstLineChars="200"/>
        <w:rPr>
          <w:rFonts w:ascii="Times New Roman" w:eastAsia="方正仿宋_GBK" w:cs="Times New Roman"/>
          <w:snapToGrid w:val="0"/>
          <w:color w:val="000000"/>
          <w:sz w:val="32"/>
          <w:szCs w:val="32"/>
        </w:rPr>
      </w:pPr>
      <w:r>
        <w:rPr>
          <w:rFonts w:hint="eastAsia" w:ascii="Times New Roman" w:eastAsia="方正仿宋_GBK" w:cs="Times New Roman"/>
          <w:snapToGrid w:val="0"/>
          <w:color w:val="000000"/>
          <w:sz w:val="32"/>
          <w:szCs w:val="32"/>
        </w:rPr>
        <w:t>8</w:t>
      </w:r>
      <w:r>
        <w:rPr>
          <w:rFonts w:ascii="Times New Roman" w:eastAsia="方正仿宋_GBK" w:cs="Times New Roman"/>
          <w:snapToGrid w:val="0"/>
          <w:color w:val="000000"/>
          <w:sz w:val="32"/>
          <w:szCs w:val="32"/>
        </w:rPr>
        <w:t>、</w:t>
      </w:r>
      <w:r>
        <w:rPr>
          <w:rFonts w:hint="eastAsia" w:ascii="Times New Roman" w:eastAsia="方正仿宋_GBK" w:cs="Times New Roman"/>
          <w:snapToGrid w:val="0"/>
          <w:color w:val="000000"/>
          <w:sz w:val="32"/>
          <w:szCs w:val="32"/>
        </w:rPr>
        <w:t>企业已获得的国家、地方、行业减污降碳、节能环保等相关资质和荣誉证书等</w:t>
      </w:r>
      <w:r>
        <w:rPr>
          <w:rFonts w:ascii="Times New Roman" w:eastAsia="方正仿宋_GBK" w:cs="Times New Roman"/>
          <w:snapToGrid w:val="0"/>
          <w:color w:val="000000"/>
          <w:sz w:val="32"/>
          <w:szCs w:val="32"/>
        </w:rPr>
        <w:t>。</w:t>
      </w:r>
    </w:p>
    <w:p>
      <w:pPr>
        <w:ind w:firstLine="0"/>
        <w:rPr>
          <w:rFonts w:eastAsia="方正黑体_GBK"/>
        </w:rPr>
      </w:pPr>
    </w:p>
    <w:p>
      <w:pPr>
        <w:ind w:firstLine="0"/>
        <w:rPr>
          <w:rFonts w:eastAsia="方正黑体_GBK"/>
        </w:rPr>
      </w:pPr>
    </w:p>
    <w:p>
      <w:pPr>
        <w:ind w:firstLine="0"/>
        <w:rPr>
          <w:rFonts w:eastAsia="方正黑体_GBK"/>
        </w:rPr>
      </w:pPr>
    </w:p>
    <w:p>
      <w:pPr>
        <w:ind w:firstLine="0"/>
        <w:rPr>
          <w:rFonts w:eastAsia="方正黑体_GBK"/>
        </w:rPr>
      </w:pPr>
    </w:p>
    <w:p>
      <w:pPr>
        <w:ind w:firstLine="0"/>
        <w:rPr>
          <w:rFonts w:eastAsia="方正黑体_GBK"/>
        </w:rPr>
      </w:pPr>
    </w:p>
    <w:tbl>
      <w:tblPr>
        <w:tblStyle w:val="13"/>
        <w:tblpPr w:leftFromText="454" w:rightFromText="454" w:horzAnchor="margin" w:tblpXSpec="center" w:tblpYSpec="bottom"/>
        <w:tblOverlap w:val="never"/>
        <w:tblW w:w="0" w:type="auto"/>
        <w:tblInd w:w="0" w:type="dxa"/>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340"/>
        <w:gridCol w:w="8165"/>
        <w:gridCol w:w="340"/>
      </w:tblGrid>
      <w:tr>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tcPr>
          <w:p>
            <w:pPr>
              <w:adjustRightInd w:val="0"/>
              <w:spacing w:before="31" w:beforeLines="10" w:after="31" w:afterLines="10" w:line="288" w:lineRule="auto"/>
              <w:ind w:firstLine="0"/>
              <w:rPr>
                <w:sz w:val="28"/>
                <w:szCs w:val="28"/>
              </w:rPr>
            </w:pPr>
          </w:p>
        </w:tc>
        <w:tc>
          <w:tcPr>
            <w:tcW w:w="8165" w:type="dxa"/>
          </w:tcPr>
          <w:p>
            <w:pPr>
              <w:tabs>
                <w:tab w:val="right" w:pos="8033"/>
              </w:tabs>
              <w:adjustRightInd w:val="0"/>
              <w:spacing w:before="31" w:beforeLines="10" w:after="31" w:afterLines="10" w:line="240" w:lineRule="auto"/>
              <w:ind w:left="-64" w:leftChars="-20" w:right="-64" w:rightChars="-20" w:firstLine="0"/>
              <w:rPr>
                <w:sz w:val="28"/>
                <w:szCs w:val="28"/>
              </w:rPr>
            </w:pPr>
            <w:r>
              <w:rPr>
                <w:rFonts w:hint="eastAsia"/>
                <w:sz w:val="28"/>
                <w:szCs w:val="28"/>
              </w:rPr>
              <w:t>江苏省生态环境厅办公室</w:t>
            </w:r>
            <w:r>
              <w:rPr>
                <w:sz w:val="28"/>
                <w:szCs w:val="28"/>
              </w:rPr>
              <w:tab/>
            </w:r>
            <w:r>
              <w:rPr>
                <w:sz w:val="28"/>
                <w:szCs w:val="28"/>
              </w:rPr>
              <w:t>20</w:t>
            </w:r>
            <w:r>
              <w:rPr>
                <w:rFonts w:hint="eastAsia"/>
                <w:sz w:val="28"/>
                <w:szCs w:val="28"/>
              </w:rPr>
              <w:t>23年9月</w:t>
            </w:r>
            <w:r>
              <w:rPr>
                <w:rFonts w:hint="eastAsia"/>
                <w:sz w:val="28"/>
                <w:szCs w:val="28"/>
                <w:lang w:val="en-US" w:eastAsia="zh-CN"/>
              </w:rPr>
              <w:t>4</w:t>
            </w:r>
            <w:r>
              <w:rPr>
                <w:rFonts w:hint="eastAsia"/>
                <w:sz w:val="28"/>
                <w:szCs w:val="28"/>
              </w:rPr>
              <w:t>日印发</w:t>
            </w:r>
          </w:p>
        </w:tc>
        <w:tc>
          <w:tcPr>
            <w:tcW w:w="340" w:type="dxa"/>
          </w:tcPr>
          <w:p>
            <w:pPr>
              <w:adjustRightInd w:val="0"/>
              <w:spacing w:before="31" w:beforeLines="10" w:after="31" w:afterLines="10" w:line="288" w:lineRule="auto"/>
              <w:ind w:firstLine="0"/>
              <w:rPr>
                <w:sz w:val="28"/>
                <w:szCs w:val="28"/>
              </w:rPr>
            </w:pPr>
          </w:p>
        </w:tc>
      </w:tr>
    </w:tbl>
    <w:p>
      <w:pPr>
        <w:ind w:firstLine="0"/>
        <w:rPr>
          <w:rFonts w:eastAsia="方正黑体_GBK"/>
        </w:rPr>
      </w:pPr>
    </w:p>
    <w:sectPr>
      <w:footnotePr>
        <w:numFmt w:val="decimalEnclosedCircleChinese"/>
      </w:footnotePr>
      <w:pgSz w:w="11906" w:h="16838"/>
      <w:pgMar w:top="1814" w:right="1531" w:bottom="1984"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 w:name="Luxi Sans">
    <w:altName w:val="Times New Roman"/>
    <w:panose1 w:val="00000000000000000000"/>
    <w:charset w:val="00"/>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MingLiU">
    <w:panose1 w:val="02010609000101010101"/>
    <w:charset w:val="88"/>
    <w:family w:val="modern"/>
    <w:pitch w:val="default"/>
    <w:sig w:usb0="80000001" w:usb1="28091800" w:usb2="00000016" w:usb3="00000000" w:csb0="00100001" w:csb1="00000000"/>
  </w:font>
  <w:font w:name="汉鼎简大宋">
    <w:altName w:val="新宋体"/>
    <w:panose1 w:val="00000000000000000000"/>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新宋体">
    <w:panose1 w:val="02010609030101010101"/>
    <w:charset w:val="86"/>
    <w:family w:val="auto"/>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0"/>
      <w:jc w:val="both"/>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adjustRightInd w:val="0"/>
                            <w:ind w:left="320" w:leftChars="100" w:right="320" w:right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23</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8"/>
                      <w:adjustRightInd w:val="0"/>
                      <w:ind w:left="320" w:leftChars="100" w:right="320" w:right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23</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6619"/>
        <w:tab w:val="clear" w:pos="8306"/>
      </w:tabs>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ind w:left="320" w:leftChars="100" w:right="320" w:rightChars="100" w:firstLine="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24</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8"/>
                      <w:ind w:left="320" w:leftChars="100" w:right="320" w:rightChars="100" w:firstLine="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24</w:t>
                    </w:r>
                    <w:r>
                      <w:rPr>
                        <w:sz w:val="28"/>
                        <w:szCs w:val="28"/>
                      </w:rPr>
                      <w:fldChar w:fldCharType="end"/>
                    </w:r>
                    <w:r>
                      <w:rPr>
                        <w:sz w:val="28"/>
                        <w:szCs w:val="28"/>
                      </w:rPr>
                      <w:t xml:space="preserve"> —</w:t>
                    </w:r>
                  </w:p>
                </w:txbxContent>
              </v:textbox>
            </v:shape>
          </w:pict>
        </mc:Fallback>
      </mc:AlternateContent>
    </w:r>
    <w:r>
      <w:rPr>
        <w:rFonts w:hint="eastAsia"/>
      </w:rPr>
      <w:tab/>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D0A95A"/>
    <w:multiLevelType w:val="singleLevel"/>
    <w:tmpl w:val="8FD0A95A"/>
    <w:lvl w:ilvl="0" w:tentative="0">
      <w:start w:val="2"/>
      <w:numFmt w:val="chineseCounting"/>
      <w:suff w:val="nothing"/>
      <w:lvlText w:val="%1、"/>
      <w:lvlJc w:val="left"/>
      <w:rPr>
        <w:rFonts w:hint="eastAsia"/>
      </w:rPr>
    </w:lvl>
  </w:abstractNum>
  <w:abstractNum w:abstractNumId="1">
    <w:nsid w:val="9DF081C3"/>
    <w:multiLevelType w:val="singleLevel"/>
    <w:tmpl w:val="9DF081C3"/>
    <w:lvl w:ilvl="0" w:tentative="0">
      <w:start w:val="2"/>
      <w:numFmt w:val="chineseCounting"/>
      <w:suff w:val="nothing"/>
      <w:lvlText w:val="%1、"/>
      <w:lvlJc w:val="left"/>
      <w:rPr>
        <w:rFonts w:hint="eastAsia"/>
      </w:rPr>
    </w:lvl>
  </w:abstractNum>
  <w:abstractNum w:abstractNumId="2">
    <w:nsid w:val="FF80CC92"/>
    <w:multiLevelType w:val="singleLevel"/>
    <w:tmpl w:val="FF80CC9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evenAndOddHeaders w:val="1"/>
  <w:drawingGridHorizontalSpacing w:val="160"/>
  <w:drawingGridVerticalSpacing w:val="435"/>
  <w:displayHorizontalDrawingGridEvery w:val="2"/>
  <w:noPunctuationKerning w:val="1"/>
  <w:characterSpacingControl w:val="compressPunctuation"/>
  <w:footnotePr>
    <w:footnote w:id="0"/>
    <w:footnote w:id="1"/>
  </w:footnotePr>
  <w:endnotePr>
    <w:endnote w:id="0"/>
    <w:endnote w:id="1"/>
  </w:endnotePr>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3MjNkM2Q2ZWJmMzM2ZTVhZTdiNDhmMGRhYzkxODkifQ=="/>
  </w:docVars>
  <w:rsids>
    <w:rsidRoot w:val="00C91D1E"/>
    <w:rsid w:val="00267DBB"/>
    <w:rsid w:val="003800D8"/>
    <w:rsid w:val="004D4242"/>
    <w:rsid w:val="00661433"/>
    <w:rsid w:val="007F1C5E"/>
    <w:rsid w:val="008A4B08"/>
    <w:rsid w:val="00924FAE"/>
    <w:rsid w:val="00C91D1E"/>
    <w:rsid w:val="00DB53EE"/>
    <w:rsid w:val="00DC676D"/>
    <w:rsid w:val="00ED6164"/>
    <w:rsid w:val="00F54510"/>
    <w:rsid w:val="00FA1C4B"/>
    <w:rsid w:val="0100390C"/>
    <w:rsid w:val="01333B63"/>
    <w:rsid w:val="028E08D5"/>
    <w:rsid w:val="02C60D98"/>
    <w:rsid w:val="02C70F4D"/>
    <w:rsid w:val="03A13782"/>
    <w:rsid w:val="04B67652"/>
    <w:rsid w:val="05331F78"/>
    <w:rsid w:val="07536A3A"/>
    <w:rsid w:val="07F75AF3"/>
    <w:rsid w:val="08B60784"/>
    <w:rsid w:val="096E7AB6"/>
    <w:rsid w:val="09C1065F"/>
    <w:rsid w:val="09E0252C"/>
    <w:rsid w:val="0C524132"/>
    <w:rsid w:val="0D706CD5"/>
    <w:rsid w:val="0DBA5CA6"/>
    <w:rsid w:val="0F99452D"/>
    <w:rsid w:val="115450DB"/>
    <w:rsid w:val="11637E25"/>
    <w:rsid w:val="11B81A41"/>
    <w:rsid w:val="124C0DF9"/>
    <w:rsid w:val="13E33117"/>
    <w:rsid w:val="13F1377A"/>
    <w:rsid w:val="1408152E"/>
    <w:rsid w:val="140B63F8"/>
    <w:rsid w:val="15465739"/>
    <w:rsid w:val="17FE94CD"/>
    <w:rsid w:val="185B4418"/>
    <w:rsid w:val="18C94AD3"/>
    <w:rsid w:val="1A563C48"/>
    <w:rsid w:val="1A8C0CD2"/>
    <w:rsid w:val="1ACC3EAF"/>
    <w:rsid w:val="1AD15306"/>
    <w:rsid w:val="1BCB0F20"/>
    <w:rsid w:val="1BE4120F"/>
    <w:rsid w:val="1C130C1B"/>
    <w:rsid w:val="1CF95230"/>
    <w:rsid w:val="1DDF7A40"/>
    <w:rsid w:val="1E0C73FA"/>
    <w:rsid w:val="1E1429DA"/>
    <w:rsid w:val="1F1E2682"/>
    <w:rsid w:val="1FDF0FA7"/>
    <w:rsid w:val="214B2DA0"/>
    <w:rsid w:val="21E464DA"/>
    <w:rsid w:val="22751B9C"/>
    <w:rsid w:val="22DF7D67"/>
    <w:rsid w:val="23BC508D"/>
    <w:rsid w:val="23C23AC3"/>
    <w:rsid w:val="24DD5B8E"/>
    <w:rsid w:val="250E665F"/>
    <w:rsid w:val="257C490D"/>
    <w:rsid w:val="265A3A36"/>
    <w:rsid w:val="26F70A5D"/>
    <w:rsid w:val="28EB2659"/>
    <w:rsid w:val="294977AB"/>
    <w:rsid w:val="29A15402"/>
    <w:rsid w:val="2A445E62"/>
    <w:rsid w:val="2BD24CFB"/>
    <w:rsid w:val="2D1DFA4A"/>
    <w:rsid w:val="2EC11CA2"/>
    <w:rsid w:val="30B92A5F"/>
    <w:rsid w:val="30BA17D2"/>
    <w:rsid w:val="31C00CAE"/>
    <w:rsid w:val="31DE6AA2"/>
    <w:rsid w:val="321D686E"/>
    <w:rsid w:val="32D65C89"/>
    <w:rsid w:val="330A2931"/>
    <w:rsid w:val="33484E94"/>
    <w:rsid w:val="336467C4"/>
    <w:rsid w:val="356E45E1"/>
    <w:rsid w:val="356E5C21"/>
    <w:rsid w:val="35FE53A2"/>
    <w:rsid w:val="38C50EDD"/>
    <w:rsid w:val="38E65788"/>
    <w:rsid w:val="393C4442"/>
    <w:rsid w:val="39D83AD0"/>
    <w:rsid w:val="3A1D6D3C"/>
    <w:rsid w:val="3B406D04"/>
    <w:rsid w:val="3BB353BA"/>
    <w:rsid w:val="3D9F1D26"/>
    <w:rsid w:val="3DF054AA"/>
    <w:rsid w:val="3E734A16"/>
    <w:rsid w:val="3E9E1050"/>
    <w:rsid w:val="400C23CA"/>
    <w:rsid w:val="4184543D"/>
    <w:rsid w:val="41EC520B"/>
    <w:rsid w:val="42341F06"/>
    <w:rsid w:val="43A318F9"/>
    <w:rsid w:val="440128B3"/>
    <w:rsid w:val="46290C4D"/>
    <w:rsid w:val="462A5A1D"/>
    <w:rsid w:val="46661113"/>
    <w:rsid w:val="46A460B4"/>
    <w:rsid w:val="46AD53A4"/>
    <w:rsid w:val="474A1F92"/>
    <w:rsid w:val="4844430F"/>
    <w:rsid w:val="4AD652B4"/>
    <w:rsid w:val="4B3D0885"/>
    <w:rsid w:val="4B8206BB"/>
    <w:rsid w:val="4BD937F4"/>
    <w:rsid w:val="4D585C94"/>
    <w:rsid w:val="4DFA72A9"/>
    <w:rsid w:val="4EE01C53"/>
    <w:rsid w:val="4F7D74A2"/>
    <w:rsid w:val="504C6589"/>
    <w:rsid w:val="51C72FF6"/>
    <w:rsid w:val="51C745AE"/>
    <w:rsid w:val="52BE10BE"/>
    <w:rsid w:val="53284D42"/>
    <w:rsid w:val="54055785"/>
    <w:rsid w:val="54FA4F1D"/>
    <w:rsid w:val="561072C2"/>
    <w:rsid w:val="56F57A1F"/>
    <w:rsid w:val="57663537"/>
    <w:rsid w:val="577863DA"/>
    <w:rsid w:val="5821489E"/>
    <w:rsid w:val="58F43766"/>
    <w:rsid w:val="593F3AEA"/>
    <w:rsid w:val="59410AD2"/>
    <w:rsid w:val="596A6CE9"/>
    <w:rsid w:val="59EA2C63"/>
    <w:rsid w:val="5A2358FD"/>
    <w:rsid w:val="5A484022"/>
    <w:rsid w:val="5B2954BF"/>
    <w:rsid w:val="5B9C1F99"/>
    <w:rsid w:val="5C090A3C"/>
    <w:rsid w:val="5D2110B9"/>
    <w:rsid w:val="5E630546"/>
    <w:rsid w:val="5E8D7089"/>
    <w:rsid w:val="5EA80C86"/>
    <w:rsid w:val="5F2D5F1C"/>
    <w:rsid w:val="5F3439F6"/>
    <w:rsid w:val="5F82259E"/>
    <w:rsid w:val="606D5311"/>
    <w:rsid w:val="61007F33"/>
    <w:rsid w:val="614B7400"/>
    <w:rsid w:val="61C73AA4"/>
    <w:rsid w:val="61F53BEE"/>
    <w:rsid w:val="6292105F"/>
    <w:rsid w:val="63DE64E0"/>
    <w:rsid w:val="6469372F"/>
    <w:rsid w:val="66584E09"/>
    <w:rsid w:val="678B58B0"/>
    <w:rsid w:val="684C3967"/>
    <w:rsid w:val="685C6397"/>
    <w:rsid w:val="68745F90"/>
    <w:rsid w:val="6A7246C1"/>
    <w:rsid w:val="6B010CDB"/>
    <w:rsid w:val="6B405AFC"/>
    <w:rsid w:val="6BEF307E"/>
    <w:rsid w:val="6CBD4F2A"/>
    <w:rsid w:val="6D521B17"/>
    <w:rsid w:val="6D60120B"/>
    <w:rsid w:val="6D705005"/>
    <w:rsid w:val="6D7E0EF0"/>
    <w:rsid w:val="6DBD47E6"/>
    <w:rsid w:val="6E501FF6"/>
    <w:rsid w:val="6E814F59"/>
    <w:rsid w:val="6FF272AD"/>
    <w:rsid w:val="709D1752"/>
    <w:rsid w:val="70A42F71"/>
    <w:rsid w:val="725D2344"/>
    <w:rsid w:val="73420C2D"/>
    <w:rsid w:val="73A4713F"/>
    <w:rsid w:val="73FEF11D"/>
    <w:rsid w:val="74A643C9"/>
    <w:rsid w:val="74DB02FA"/>
    <w:rsid w:val="75390B58"/>
    <w:rsid w:val="75CE63AB"/>
    <w:rsid w:val="75DF36D2"/>
    <w:rsid w:val="761264ED"/>
    <w:rsid w:val="76AD7B55"/>
    <w:rsid w:val="76F02E75"/>
    <w:rsid w:val="77543075"/>
    <w:rsid w:val="77886110"/>
    <w:rsid w:val="77D126A7"/>
    <w:rsid w:val="78AF42C1"/>
    <w:rsid w:val="79DA3D23"/>
    <w:rsid w:val="7A573D4E"/>
    <w:rsid w:val="7AA87F97"/>
    <w:rsid w:val="7ADE5264"/>
    <w:rsid w:val="7D5E727E"/>
    <w:rsid w:val="7D97328D"/>
    <w:rsid w:val="7DE66399"/>
    <w:rsid w:val="7F2E7865"/>
    <w:rsid w:val="7FEF5C0B"/>
    <w:rsid w:val="BC8B8A13"/>
    <w:rsid w:val="BE6FCE57"/>
    <w:rsid w:val="E6F1E0DB"/>
    <w:rsid w:val="F6A22449"/>
    <w:rsid w:val="F6F4C64A"/>
    <w:rsid w:val="F73DE483"/>
    <w:rsid w:val="F7EBB772"/>
    <w:rsid w:val="FABE9E74"/>
    <w:rsid w:val="FF5CC3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rPr>
  </w:style>
  <w:style w:type="paragraph" w:styleId="4">
    <w:name w:val="heading 3"/>
    <w:basedOn w:val="1"/>
    <w:next w:val="1"/>
    <w:qFormat/>
    <w:uiPriority w:val="0"/>
    <w:pPr>
      <w:keepNext/>
      <w:keepLines/>
      <w:spacing w:before="260" w:after="260" w:line="415" w:lineRule="auto"/>
      <w:outlineLvl w:val="2"/>
    </w:pPr>
    <w:rPr>
      <w:b/>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index 5"/>
    <w:next w:val="1"/>
    <w:qFormat/>
    <w:uiPriority w:val="0"/>
    <w:pPr>
      <w:widowControl w:val="0"/>
      <w:ind w:left="1680"/>
      <w:jc w:val="both"/>
    </w:pPr>
    <w:rPr>
      <w:rFonts w:ascii="黑体" w:hAnsi="Times New Roman" w:eastAsia="黑体" w:cs="Arial"/>
      <w:kern w:val="2"/>
      <w:sz w:val="32"/>
      <w:szCs w:val="32"/>
      <w:lang w:val="en-US" w:eastAsia="zh-CN" w:bidi="ar-SA"/>
    </w:rPr>
  </w:style>
  <w:style w:type="paragraph" w:styleId="6">
    <w:name w:val="annotation text"/>
    <w:basedOn w:val="1"/>
    <w:qFormat/>
    <w:uiPriority w:val="0"/>
    <w:pPr>
      <w:jc w:val="left"/>
    </w:pPr>
  </w:style>
  <w:style w:type="paragraph" w:styleId="7">
    <w:name w:val="Balloon Text"/>
    <w:basedOn w:val="1"/>
    <w:qFormat/>
    <w:uiPriority w:val="0"/>
    <w:pPr>
      <w:spacing w:line="240" w:lineRule="auto"/>
    </w:pPr>
    <w:rPr>
      <w:sz w:val="18"/>
      <w:szCs w:val="18"/>
    </w:rPr>
  </w:style>
  <w:style w:type="paragraph" w:styleId="8">
    <w:name w:val="footer"/>
    <w:basedOn w:val="1"/>
    <w:qFormat/>
    <w:uiPriority w:val="0"/>
    <w:pPr>
      <w:tabs>
        <w:tab w:val="center" w:pos="4153"/>
        <w:tab w:val="right" w:pos="8306"/>
      </w:tabs>
      <w:jc w:val="left"/>
    </w:pPr>
    <w:rPr>
      <w:sz w:val="18"/>
    </w:rPr>
  </w:style>
  <w:style w:type="paragraph" w:styleId="9">
    <w:name w:val="header"/>
    <w:basedOn w:val="1"/>
    <w:qFormat/>
    <w:uiPriority w:val="0"/>
    <w:pPr>
      <w:tabs>
        <w:tab w:val="center" w:pos="4153"/>
        <w:tab w:val="right" w:pos="8306"/>
      </w:tabs>
      <w:spacing w:line="240" w:lineRule="auto"/>
    </w:pPr>
    <w:rPr>
      <w:sz w:val="18"/>
    </w:rPr>
  </w:style>
  <w:style w:type="paragraph" w:styleId="10">
    <w:name w:val="footnote text"/>
    <w:basedOn w:val="1"/>
    <w:qFormat/>
    <w:uiPriority w:val="0"/>
    <w:pPr>
      <w:jc w:val="left"/>
    </w:pPr>
    <w:rPr>
      <w:sz w:val="18"/>
    </w:rPr>
  </w:style>
  <w:style w:type="paragraph" w:styleId="11">
    <w:name w:val="Normal (Web)"/>
    <w:basedOn w:val="1"/>
    <w:qFormat/>
    <w:uiPriority w:val="0"/>
    <w:pPr>
      <w:widowControl/>
      <w:autoSpaceDE/>
      <w:autoSpaceDN/>
      <w:snapToGrid/>
      <w:spacing w:before="100" w:beforeAutospacing="1" w:after="100" w:afterAutospacing="1" w:line="240" w:lineRule="auto"/>
      <w:ind w:firstLine="0"/>
      <w:jc w:val="left"/>
    </w:pPr>
    <w:rPr>
      <w:rFonts w:ascii="宋体" w:eastAsia="宋体" w:cs="宋体"/>
      <w:snapToGrid/>
      <w:sz w:val="24"/>
      <w:szCs w:val="24"/>
    </w:rPr>
  </w:style>
  <w:style w:type="paragraph" w:styleId="12">
    <w:name w:val="annotation subject"/>
    <w:basedOn w:val="6"/>
    <w:next w:val="6"/>
    <w:qFormat/>
    <w:uiPriority w:val="0"/>
    <w:rPr>
      <w:b/>
      <w:bCs/>
    </w:rPr>
  </w:style>
  <w:style w:type="character" w:styleId="15">
    <w:name w:val="Strong"/>
    <w:basedOn w:val="14"/>
    <w:qFormat/>
    <w:uiPriority w:val="0"/>
    <w:rPr>
      <w:b/>
      <w:bCs/>
    </w:rPr>
  </w:style>
  <w:style w:type="character" w:styleId="16">
    <w:name w:val="Emphasis"/>
    <w:basedOn w:val="14"/>
    <w:qFormat/>
    <w:uiPriority w:val="0"/>
    <w:rPr>
      <w:i/>
      <w:iCs/>
    </w:rPr>
  </w:style>
  <w:style w:type="character" w:styleId="17">
    <w:name w:val="Hyperlink"/>
    <w:basedOn w:val="14"/>
    <w:qFormat/>
    <w:uiPriority w:val="0"/>
    <w:rPr>
      <w:color w:val="0000FF"/>
      <w:u w:val="single"/>
    </w:rPr>
  </w:style>
  <w:style w:type="character" w:styleId="18">
    <w:name w:val="annotation reference"/>
    <w:basedOn w:val="14"/>
    <w:qFormat/>
    <w:uiPriority w:val="0"/>
    <w:rPr>
      <w:sz w:val="21"/>
      <w:szCs w:val="21"/>
    </w:rPr>
  </w:style>
  <w:style w:type="character" w:styleId="19">
    <w:name w:val="footnote reference"/>
    <w:basedOn w:val="14"/>
    <w:qFormat/>
    <w:uiPriority w:val="0"/>
    <w:rPr>
      <w:vertAlign w:val="superscript"/>
    </w:rPr>
  </w:style>
  <w:style w:type="paragraph" w:customStyle="1" w:styleId="20">
    <w:name w:val="Normal Indent1"/>
    <w:next w:val="5"/>
    <w:qFormat/>
    <w:uiPriority w:val="0"/>
    <w:pPr>
      <w:widowControl w:val="0"/>
      <w:ind w:firstLine="200" w:firstLineChars="200"/>
      <w:jc w:val="both"/>
    </w:pPr>
    <w:rPr>
      <w:rFonts w:ascii="Times New Roman" w:hAnsi="Times New Roman" w:eastAsia="宋体" w:cs="Times New Roman"/>
      <w:kern w:val="2"/>
      <w:sz w:val="21"/>
      <w:szCs w:val="21"/>
      <w:lang w:val="en-US" w:eastAsia="zh-CN" w:bidi="ar-SA"/>
    </w:rPr>
  </w:style>
  <w:style w:type="paragraph" w:customStyle="1" w:styleId="21">
    <w:name w:val="标题1"/>
    <w:basedOn w:val="1"/>
    <w:next w:val="1"/>
    <w:qFormat/>
    <w:uiPriority w:val="0"/>
    <w:pPr>
      <w:tabs>
        <w:tab w:val="left" w:pos="9193"/>
        <w:tab w:val="left" w:pos="9827"/>
      </w:tabs>
      <w:spacing w:line="640" w:lineRule="atLeast"/>
      <w:ind w:firstLine="0"/>
      <w:jc w:val="center"/>
    </w:pPr>
    <w:rPr>
      <w:rFonts w:eastAsia="方正小标宋_GBK"/>
      <w:sz w:val="44"/>
    </w:rPr>
  </w:style>
  <w:style w:type="paragraph" w:customStyle="1" w:styleId="22">
    <w:name w:val="Default"/>
    <w:qFormat/>
    <w:uiPriority w:val="0"/>
    <w:pPr>
      <w:widowControl w:val="0"/>
      <w:autoSpaceDE w:val="0"/>
      <w:autoSpaceDN w:val="0"/>
      <w:adjustRightInd w:val="0"/>
    </w:pPr>
    <w:rPr>
      <w:rFonts w:ascii="仿宋_GB2312" w:hAnsi="Times New Roman" w:eastAsia="仿宋_GB2312" w:cs="Arial"/>
      <w:color w:val="000000"/>
      <w:sz w:val="24"/>
      <w:szCs w:val="24"/>
      <w:lang w:val="en-US" w:eastAsia="zh-CN" w:bidi="ar-SA"/>
    </w:rPr>
  </w:style>
  <w:style w:type="paragraph" w:customStyle="1" w:styleId="23">
    <w:name w:val="附件栏"/>
    <w:basedOn w:val="1"/>
    <w:qFormat/>
    <w:uiPriority w:val="0"/>
  </w:style>
  <w:style w:type="paragraph" w:customStyle="1" w:styleId="24">
    <w:name w:val="标题2"/>
    <w:basedOn w:val="1"/>
    <w:next w:val="1"/>
    <w:qFormat/>
    <w:uiPriority w:val="0"/>
    <w:pPr>
      <w:ind w:firstLine="0"/>
      <w:jc w:val="center"/>
    </w:pPr>
    <w:rPr>
      <w:rFonts w:eastAsia="方正楷体_GBK"/>
    </w:rPr>
  </w:style>
  <w:style w:type="character" w:customStyle="1" w:styleId="25">
    <w:name w:val="font51"/>
    <w:qFormat/>
    <w:uiPriority w:val="0"/>
    <w:rPr>
      <w:rFonts w:ascii="MingLiU" w:hAnsi="MingLiU" w:eastAsia="MingLiU" w:cs="MingLiU"/>
      <w:color w:val="000000"/>
      <w:sz w:val="22"/>
      <w:szCs w:val="22"/>
      <w:u w:val="none"/>
    </w:rPr>
  </w:style>
  <w:style w:type="paragraph" w:customStyle="1" w:styleId="26">
    <w:name w:val="密级"/>
    <w:basedOn w:val="1"/>
    <w:qFormat/>
    <w:uiPriority w:val="0"/>
    <w:pPr>
      <w:adjustRightInd w:val="0"/>
      <w:snapToGrid/>
      <w:spacing w:line="425" w:lineRule="atLeast"/>
      <w:ind w:firstLine="0"/>
      <w:jc w:val="right"/>
    </w:pPr>
    <w:rPr>
      <w:rFonts w:ascii="黑体" w:eastAsia="黑体"/>
      <w:sz w:val="30"/>
    </w:rPr>
  </w:style>
  <w:style w:type="paragraph" w:customStyle="1" w:styleId="27">
    <w:name w:val="文头"/>
    <w:basedOn w:val="1"/>
    <w:qFormat/>
    <w:uiPriority w:val="0"/>
    <w:pPr>
      <w:tabs>
        <w:tab w:val="left" w:pos="6663"/>
      </w:tabs>
      <w:spacing w:after="800" w:line="1500" w:lineRule="atLeast"/>
      <w:ind w:left="510" w:right="227" w:hanging="284"/>
      <w:jc w:val="distribute"/>
    </w:pPr>
    <w:rPr>
      <w:rFonts w:ascii="汉鼎简大宋" w:eastAsia="汉鼎简大宋"/>
      <w:b/>
      <w:color w:val="FF0000"/>
      <w:w w:val="62"/>
      <w:sz w:val="140"/>
    </w:rPr>
  </w:style>
  <w:style w:type="paragraph" w:customStyle="1" w:styleId="28">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9">
    <w:name w:val="修订1"/>
    <w:qFormat/>
    <w:uiPriority w:val="0"/>
    <w:rPr>
      <w:rFonts w:ascii="Times New Roman" w:hAnsi="Times New Roman" w:eastAsia="方正仿宋_GBK" w:cs="Times New Roman"/>
      <w:snapToGrid w:val="0"/>
      <w:sz w:val="32"/>
      <w:lang w:val="en-US" w:eastAsia="zh-CN" w:bidi="ar-SA"/>
    </w:rPr>
  </w:style>
  <w:style w:type="paragraph" w:customStyle="1" w:styleId="30">
    <w:name w:val="修订2"/>
    <w:qFormat/>
    <w:uiPriority w:val="0"/>
    <w:rPr>
      <w:rFonts w:ascii="Times New Roman" w:hAnsi="Times New Roman" w:eastAsia="方正仿宋_GBK" w:cs="Times New Roman"/>
      <w:snapToGrid w:val="0"/>
      <w:sz w:val="32"/>
      <w:lang w:val="en-US" w:eastAsia="zh-CN" w:bidi="ar-SA"/>
    </w:rPr>
  </w:style>
  <w:style w:type="paragraph" w:customStyle="1" w:styleId="31">
    <w:name w:val="修订3"/>
    <w:qFormat/>
    <w:uiPriority w:val="0"/>
    <w:rPr>
      <w:rFonts w:ascii="Times New Roman" w:hAnsi="Times New Roman" w:eastAsia="方正仿宋_GBK" w:cs="Times New Roman"/>
      <w:snapToGrid w:val="0"/>
      <w:sz w:val="32"/>
      <w:lang w:val="en-US" w:eastAsia="zh-CN" w:bidi="ar-SA"/>
    </w:rPr>
  </w:style>
  <w:style w:type="paragraph" w:styleId="32">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1519</Words>
  <Characters>8660</Characters>
  <Lines>72</Lines>
  <Paragraphs>20</Paragraphs>
  <TotalTime>6</TotalTime>
  <ScaleCrop>false</ScaleCrop>
  <LinksUpToDate>false</LinksUpToDate>
  <CharactersWithSpaces>10159</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2023-09-12T23:59:00Z</dcterms:created>
  <dc:creator>ying</dc:creator>
  <cp:lastModifiedBy>苏苏</cp:lastModifiedBy>
  <cp:lastPrinted>2023-08-19T12:45:00Z</cp:lastPrinted>
  <dcterms:modified xsi:type="dcterms:W3CDTF">2023-12-18T08:14:20Z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F22680FB61454771A619EB109676D5E2_13</vt:lpwstr>
  </property>
</Properties>
</file>