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3C9A4">
      <w:pPr>
        <w:rPr>
          <w:rFonts w:ascii="Times New Roman" w:hAnsi="Times New Roman" w:eastAsia="方正小标宋_GBK"/>
          <w:sz w:val="44"/>
          <w:szCs w:val="44"/>
        </w:rPr>
      </w:pPr>
    </w:p>
    <w:p w14:paraId="625CD1A1">
      <w:pPr>
        <w:spacing w:line="590" w:lineRule="exact"/>
        <w:jc w:val="center"/>
        <w:rPr>
          <w:rFonts w:hint="eastAsia" w:ascii="Times New Roman" w:hAnsi="Times New Roman" w:eastAsia="方正小标宋_GBK"/>
          <w:sz w:val="44"/>
          <w:szCs w:val="44"/>
          <w:lang w:eastAsia="zh-CN"/>
        </w:rPr>
      </w:pPr>
      <w:r>
        <w:rPr>
          <w:rFonts w:hint="eastAsia" w:ascii="Times New Roman" w:hAnsi="Times New Roman" w:eastAsia="方正小标宋_GBK"/>
          <w:sz w:val="44"/>
          <w:szCs w:val="44"/>
          <w:lang w:eastAsia="zh-CN"/>
        </w:rPr>
        <w:t>《江苏省大气污染防治条例》修改方案</w:t>
      </w:r>
    </w:p>
    <w:p w14:paraId="3248C0C3">
      <w:pPr>
        <w:spacing w:line="590" w:lineRule="exact"/>
        <w:jc w:val="center"/>
        <w:rPr>
          <w:rFonts w:ascii="Times New Roman" w:hAnsi="Times New Roman" w:eastAsia="方正小标宋_GBK"/>
          <w:sz w:val="44"/>
          <w:szCs w:val="44"/>
        </w:rPr>
      </w:pPr>
      <w:r>
        <w:rPr>
          <w:rFonts w:hint="eastAsia" w:ascii="Times New Roman" w:hAnsi="Times New Roman" w:eastAsia="方正小标宋_GBK"/>
          <w:sz w:val="44"/>
          <w:szCs w:val="44"/>
          <w:lang w:eastAsia="zh-CN"/>
        </w:rPr>
        <w:t>编制</w:t>
      </w:r>
      <w:r>
        <w:rPr>
          <w:rFonts w:hint="eastAsia" w:ascii="Times New Roman" w:hAnsi="Times New Roman" w:eastAsia="方正小标宋_GBK"/>
          <w:sz w:val="44"/>
          <w:szCs w:val="44"/>
        </w:rPr>
        <w:t>说明</w:t>
      </w:r>
    </w:p>
    <w:p w14:paraId="7F790F11">
      <w:pPr>
        <w:spacing w:line="590" w:lineRule="exact"/>
        <w:rPr>
          <w:rFonts w:ascii="Times New Roman" w:hAnsi="Times New Roman" w:eastAsia="方正小标宋_GBK"/>
          <w:sz w:val="44"/>
          <w:szCs w:val="44"/>
        </w:rPr>
      </w:pPr>
    </w:p>
    <w:p w14:paraId="75F5978E">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val="en-US" w:eastAsia="zh-CN"/>
        </w:rPr>
        <w:t>3月以来，对</w:t>
      </w:r>
      <w:r>
        <w:rPr>
          <w:rFonts w:hint="eastAsia" w:ascii="Times New Roman" w:hAnsi="Times New Roman" w:eastAsia="方正仿宋_GBK" w:cs="方正仿宋_GBK"/>
          <w:sz w:val="32"/>
          <w:szCs w:val="32"/>
          <w:lang w:eastAsia="zh-CN"/>
        </w:rPr>
        <w:t>《江苏省大气污染防治条例》（以下简称“大气条例”）与</w:t>
      </w:r>
      <w:r>
        <w:rPr>
          <w:rFonts w:hint="eastAsia" w:ascii="Times New Roman" w:hAnsi="Times New Roman" w:eastAsia="方正仿宋_GBK" w:cs="方正仿宋_GBK"/>
          <w:sz w:val="32"/>
          <w:szCs w:val="32"/>
        </w:rPr>
        <w:t>生态环境法典</w:t>
      </w:r>
      <w:r>
        <w:rPr>
          <w:rFonts w:hint="eastAsia" w:ascii="Times New Roman" w:hAnsi="Times New Roman" w:eastAsia="方正仿宋_GBK" w:cs="方正仿宋_GBK"/>
          <w:sz w:val="32"/>
          <w:szCs w:val="32"/>
          <w:lang w:eastAsia="zh-CN"/>
        </w:rPr>
        <w:t>大气污染防治方面相关</w:t>
      </w:r>
      <w:r>
        <w:rPr>
          <w:rFonts w:hint="eastAsia" w:ascii="Times New Roman" w:hAnsi="Times New Roman" w:eastAsia="方正仿宋_GBK" w:cs="方正仿宋_GBK"/>
          <w:sz w:val="32"/>
          <w:szCs w:val="32"/>
        </w:rPr>
        <w:t>要求</w:t>
      </w:r>
      <w:r>
        <w:rPr>
          <w:rFonts w:hint="eastAsia" w:ascii="Times New Roman" w:hAnsi="Times New Roman" w:eastAsia="方正仿宋_GBK" w:cs="方正仿宋_GBK"/>
          <w:sz w:val="32"/>
          <w:szCs w:val="32"/>
          <w:lang w:eastAsia="zh-CN"/>
        </w:rPr>
        <w:t>进行系统</w:t>
      </w:r>
      <w:r>
        <w:rPr>
          <w:rFonts w:hint="eastAsia" w:ascii="Times New Roman" w:hAnsi="Times New Roman" w:eastAsia="方正仿宋_GBK" w:cs="方正仿宋_GBK"/>
          <w:sz w:val="32"/>
          <w:szCs w:val="32"/>
          <w:lang w:val="en-US" w:eastAsia="zh-CN"/>
        </w:rPr>
        <w:t>梳理比对、</w:t>
      </w:r>
      <w:r>
        <w:rPr>
          <w:rFonts w:hint="eastAsia" w:ascii="Times New Roman" w:hAnsi="Times New Roman" w:eastAsia="方正仿宋_GBK" w:cs="方正仿宋_GBK"/>
          <w:sz w:val="32"/>
          <w:szCs w:val="32"/>
          <w:lang w:eastAsia="zh-CN"/>
        </w:rPr>
        <w:t>差异分析，经多轮讨论、处室征求意见，</w:t>
      </w:r>
      <w:r>
        <w:rPr>
          <w:rFonts w:hint="eastAsia" w:ascii="Times New Roman" w:hAnsi="Times New Roman" w:eastAsia="方正仿宋_GBK" w:cs="方正仿宋_GBK"/>
          <w:sz w:val="32"/>
          <w:szCs w:val="32"/>
          <w:lang w:val="en-US" w:eastAsia="zh-CN"/>
        </w:rPr>
        <w:t>按照法规规章清理相关工作要求，</w:t>
      </w:r>
      <w:r>
        <w:rPr>
          <w:rFonts w:hint="eastAsia" w:ascii="Times New Roman" w:hAnsi="Times New Roman" w:eastAsia="方正仿宋_GBK" w:cs="方正仿宋_GBK"/>
          <w:sz w:val="32"/>
          <w:szCs w:val="32"/>
          <w:lang w:eastAsia="zh-CN"/>
        </w:rPr>
        <w:t>形成修改方案，具体情况</w:t>
      </w:r>
      <w:r>
        <w:rPr>
          <w:rFonts w:hint="eastAsia" w:ascii="Times New Roman" w:hAnsi="Times New Roman" w:eastAsia="方正仿宋_GBK" w:cs="方正仿宋_GBK"/>
          <w:sz w:val="32"/>
          <w:szCs w:val="32"/>
        </w:rPr>
        <w:t>如下：</w:t>
      </w:r>
    </w:p>
    <w:p w14:paraId="716C2E33">
      <w:pPr>
        <w:spacing w:line="560" w:lineRule="exact"/>
        <w:ind w:firstLine="640" w:firstLineChars="200"/>
        <w:rPr>
          <w:rFonts w:hint="eastAsia" w:ascii="Times New Roman" w:hAnsi="Times New Roman" w:eastAsia="方正黑体_GBK" w:cs="方正仿宋_GBK"/>
          <w:sz w:val="32"/>
          <w:szCs w:val="32"/>
          <w:lang w:eastAsia="zh-CN"/>
        </w:rPr>
      </w:pPr>
      <w:r>
        <w:rPr>
          <w:rFonts w:hint="eastAsia" w:ascii="Times New Roman" w:hAnsi="Times New Roman" w:eastAsia="方正黑体_GBK" w:cs="方正仿宋_GBK"/>
          <w:sz w:val="32"/>
          <w:szCs w:val="32"/>
          <w:lang w:eastAsia="zh-CN"/>
        </w:rPr>
        <w:t>一、</w:t>
      </w:r>
      <w:r>
        <w:rPr>
          <w:rFonts w:hint="eastAsia" w:ascii="Times New Roman" w:hAnsi="Times New Roman" w:eastAsia="方正黑体_GBK" w:cs="方正仿宋_GBK"/>
          <w:sz w:val="32"/>
          <w:szCs w:val="32"/>
          <w:lang w:val="en-US" w:eastAsia="zh-CN"/>
        </w:rPr>
        <w:t>梳理对照与</w:t>
      </w:r>
      <w:r>
        <w:rPr>
          <w:rFonts w:hint="eastAsia" w:ascii="Times New Roman" w:hAnsi="Times New Roman" w:eastAsia="方正黑体_GBK" w:cs="方正仿宋_GBK"/>
          <w:sz w:val="32"/>
          <w:szCs w:val="32"/>
          <w:lang w:eastAsia="zh-CN"/>
        </w:rPr>
        <w:t>差异</w:t>
      </w:r>
      <w:r>
        <w:rPr>
          <w:rFonts w:hint="eastAsia" w:ascii="Times New Roman" w:hAnsi="Times New Roman" w:eastAsia="方正黑体_GBK" w:cs="方正仿宋_GBK"/>
          <w:sz w:val="32"/>
          <w:szCs w:val="32"/>
          <w:lang w:val="en-US" w:eastAsia="zh-CN"/>
        </w:rPr>
        <w:t>分析</w:t>
      </w:r>
      <w:r>
        <w:rPr>
          <w:rFonts w:hint="eastAsia" w:ascii="Times New Roman" w:hAnsi="Times New Roman" w:eastAsia="方正黑体_GBK" w:cs="方正仿宋_GBK"/>
          <w:sz w:val="32"/>
          <w:szCs w:val="32"/>
          <w:lang w:eastAsia="zh-CN"/>
        </w:rPr>
        <w:t>情况</w:t>
      </w:r>
    </w:p>
    <w:p w14:paraId="13B1CC4D">
      <w:pPr>
        <w:keepNext w:val="0"/>
        <w:keepLines w:val="0"/>
        <w:widowControl/>
        <w:suppressLineNumbers w:val="0"/>
        <w:ind w:firstLine="640" w:firstLineChars="200"/>
        <w:jc w:val="left"/>
        <w:rPr>
          <w:rFonts w:hint="eastAsia" w:ascii="Times New Roman" w:hAnsi="Times New Roman" w:eastAsia="方正仿宋_GBK" w:cs="方正仿宋_GBK"/>
          <w:color w:val="000000"/>
          <w:kern w:val="0"/>
          <w:sz w:val="31"/>
          <w:szCs w:val="31"/>
          <w:lang w:val="en-US" w:eastAsia="zh-CN" w:bidi="ar"/>
        </w:rPr>
      </w:pPr>
      <w:r>
        <w:rPr>
          <w:rFonts w:hint="eastAsia" w:ascii="Times New Roman" w:hAnsi="Times New Roman" w:eastAsia="方正仿宋_GBK" w:cs="方正仿宋_GBK"/>
          <w:sz w:val="32"/>
          <w:szCs w:val="32"/>
          <w:lang w:eastAsia="zh-CN"/>
        </w:rPr>
        <w:t>《江苏省大气污染防治条例》于</w:t>
      </w:r>
      <w:r>
        <w:rPr>
          <w:rFonts w:hint="eastAsia" w:ascii="Times New Roman" w:hAnsi="Times New Roman" w:eastAsia="方正仿宋_GBK" w:cs="方正仿宋_GBK"/>
          <w:sz w:val="32"/>
          <w:szCs w:val="32"/>
          <w:lang w:val="en-US" w:eastAsia="zh-CN"/>
        </w:rPr>
        <w:t>2015年由省人大颁布，分别于2018年3月和11月两次修订，共计10</w:t>
      </w:r>
      <w:r>
        <w:rPr>
          <w:rFonts w:hint="default" w:ascii="Times New Roman" w:hAnsi="Times New Roman" w:eastAsia="方正仿宋_GBK" w:cs="方正仿宋_GBK"/>
          <w:sz w:val="32"/>
          <w:szCs w:val="32"/>
          <w:lang w:val="en-US" w:eastAsia="zh-CN"/>
        </w:rPr>
        <w:t>7</w:t>
      </w:r>
      <w:r>
        <w:rPr>
          <w:rFonts w:hint="eastAsia" w:ascii="Times New Roman" w:hAnsi="Times New Roman" w:eastAsia="方正仿宋_GBK" w:cs="方正仿宋_GBK"/>
          <w:sz w:val="32"/>
          <w:szCs w:val="32"/>
          <w:lang w:val="en-US" w:eastAsia="zh-CN"/>
        </w:rPr>
        <w:t>条。经与生态环境法典梳理比对，共有100条存在差异。其中，55条存在表述性差异，14条为我省细化上位法、30条为我省新增内容、33条存在实质性差异、21条法典有而我省没有。根据评估结果，“大气条例”</w:t>
      </w:r>
      <w:r>
        <w:rPr>
          <w:rFonts w:ascii="Times New Roman" w:hAnsi="Times New Roman" w:eastAsia="方正仿宋_GBK" w:cs="方正仿宋_GBK"/>
          <w:color w:val="000000"/>
          <w:kern w:val="0"/>
          <w:sz w:val="31"/>
          <w:szCs w:val="31"/>
          <w:lang w:val="en-US" w:eastAsia="zh-CN" w:bidi="ar"/>
        </w:rPr>
        <w:t>内容与法典</w:t>
      </w:r>
      <w:r>
        <w:rPr>
          <w:rFonts w:hint="eastAsia" w:ascii="Times New Roman" w:hAnsi="Times New Roman" w:eastAsia="方正仿宋_GBK" w:cs="方正仿宋_GBK"/>
          <w:color w:val="000000"/>
          <w:kern w:val="0"/>
          <w:sz w:val="31"/>
          <w:szCs w:val="31"/>
          <w:lang w:val="en-US" w:eastAsia="zh-CN" w:bidi="ar"/>
        </w:rPr>
        <w:t>相关</w:t>
      </w:r>
      <w:r>
        <w:rPr>
          <w:rFonts w:ascii="Times New Roman" w:hAnsi="Times New Roman" w:eastAsia="方正仿宋_GBK" w:cs="方正仿宋_GBK"/>
          <w:color w:val="000000"/>
          <w:kern w:val="0"/>
          <w:sz w:val="31"/>
          <w:szCs w:val="31"/>
          <w:lang w:val="en-US" w:eastAsia="zh-CN" w:bidi="ar"/>
        </w:rPr>
        <w:t>规定不一致</w:t>
      </w:r>
      <w:r>
        <w:rPr>
          <w:rFonts w:hint="eastAsia" w:ascii="Times New Roman" w:hAnsi="Times New Roman" w:eastAsia="方正仿宋_GBK" w:cs="方正仿宋_GBK"/>
          <w:color w:val="000000"/>
          <w:kern w:val="0"/>
          <w:sz w:val="31"/>
          <w:szCs w:val="31"/>
          <w:lang w:val="en-US" w:eastAsia="zh-CN" w:bidi="ar"/>
        </w:rPr>
        <w:t>内容较多、</w:t>
      </w:r>
      <w:r>
        <w:rPr>
          <w:rFonts w:ascii="Times New Roman" w:hAnsi="Times New Roman" w:eastAsia="方正仿宋_GBK" w:cs="方正仿宋_GBK"/>
          <w:color w:val="000000"/>
          <w:kern w:val="0"/>
          <w:sz w:val="31"/>
          <w:szCs w:val="31"/>
          <w:lang w:val="en-US" w:eastAsia="zh-CN" w:bidi="ar"/>
        </w:rPr>
        <w:t>涉及面较广</w:t>
      </w:r>
      <w:r>
        <w:rPr>
          <w:rFonts w:hint="eastAsia" w:ascii="Times New Roman" w:hAnsi="Times New Roman" w:eastAsia="方正仿宋_GBK" w:cs="方正仿宋_GBK"/>
          <w:color w:val="000000"/>
          <w:kern w:val="0"/>
          <w:sz w:val="31"/>
          <w:szCs w:val="31"/>
          <w:lang w:val="en-US" w:eastAsia="zh-CN" w:bidi="ar"/>
        </w:rPr>
        <w:t>，同时，部分内容较法典更为严格和细化，建议</w:t>
      </w:r>
      <w:r>
        <w:rPr>
          <w:rFonts w:ascii="Times New Roman" w:hAnsi="Times New Roman" w:eastAsia="方正仿宋_GBK" w:cs="方正仿宋_GBK"/>
          <w:color w:val="000000"/>
          <w:kern w:val="0"/>
          <w:sz w:val="31"/>
          <w:szCs w:val="31"/>
          <w:lang w:val="en-US" w:eastAsia="zh-CN" w:bidi="ar"/>
        </w:rPr>
        <w:t>予以全面修订</w:t>
      </w:r>
      <w:r>
        <w:rPr>
          <w:rFonts w:hint="eastAsia" w:ascii="Times New Roman" w:hAnsi="Times New Roman" w:eastAsia="方正仿宋_GBK" w:cs="方正仿宋_GBK"/>
          <w:color w:val="000000"/>
          <w:kern w:val="0"/>
          <w:sz w:val="31"/>
          <w:szCs w:val="31"/>
          <w:lang w:val="en-US" w:eastAsia="zh-CN" w:bidi="ar"/>
        </w:rPr>
        <w:t>。</w:t>
      </w:r>
    </w:p>
    <w:p w14:paraId="14B7F684">
      <w:pPr>
        <w:numPr>
          <w:ilvl w:val="0"/>
          <w:numId w:val="0"/>
        </w:numPr>
        <w:spacing w:line="560" w:lineRule="exact"/>
        <w:ind w:firstLine="640" w:firstLineChars="200"/>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二、拟修改清理情况</w:t>
      </w:r>
    </w:p>
    <w:p w14:paraId="46E129D8">
      <w:pPr>
        <w:keepNext w:val="0"/>
        <w:keepLines w:val="0"/>
        <w:widowControl/>
        <w:suppressLineNumbers w:val="0"/>
        <w:ind w:firstLine="640" w:firstLineChars="200"/>
        <w:jc w:val="left"/>
        <w:rPr>
          <w:rFonts w:hint="default" w:ascii="Times New Roman" w:hAnsi="Times New Roman" w:eastAsia="方正仿宋_GBK" w:cs="方正仿宋_GBK"/>
          <w:sz w:val="32"/>
          <w:szCs w:val="32"/>
          <w:highlight w:val="none"/>
          <w:lang w:val="en-US" w:eastAsia="zh-CN"/>
        </w:rPr>
      </w:pPr>
      <w:r>
        <w:rPr>
          <w:rFonts w:hint="eastAsia" w:ascii="Times New Roman" w:hAnsi="Times New Roman" w:eastAsia="方正仿宋_GBK" w:cs="方正仿宋_GBK"/>
          <w:sz w:val="32"/>
          <w:szCs w:val="32"/>
          <w:highlight w:val="none"/>
          <w:lang w:val="en-US" w:eastAsia="zh-CN"/>
        </w:rPr>
        <w:t>计划修改85条，其中有24条仅为修改条例序号，计划删除20条，新增3条，具体修改说明如下：</w:t>
      </w:r>
    </w:p>
    <w:p w14:paraId="43ADF6ED">
      <w:pPr>
        <w:keepNext w:val="0"/>
        <w:keepLines w:val="0"/>
        <w:widowControl/>
        <w:numPr>
          <w:ilvl w:val="0"/>
          <w:numId w:val="1"/>
        </w:numPr>
        <w:suppressLineNumbers w:val="0"/>
        <w:ind w:firstLine="640" w:firstLineChars="200"/>
        <w:jc w:val="left"/>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表述性修改内容</w:t>
      </w:r>
    </w:p>
    <w:p w14:paraId="74E95CFC">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方正黑体_GBK" w:cs="方正仿宋_GBK"/>
          <w:sz w:val="32"/>
          <w:szCs w:val="32"/>
          <w:lang w:val="en-US" w:eastAsia="zh-CN"/>
        </w:rPr>
        <w:t>有45条涉及表述性差异方面的修改。一是44条为术语名词的表述性修改，</w:t>
      </w:r>
      <w:r>
        <w:rPr>
          <w:rFonts w:hint="eastAsia" w:ascii="Times New Roman" w:hAnsi="Times New Roman" w:eastAsia="方正仿宋_GBK" w:cs="方正仿宋_GBK"/>
          <w:sz w:val="32"/>
          <w:szCs w:val="32"/>
          <w:lang w:val="en-US" w:eastAsia="zh-CN"/>
        </w:rPr>
        <w:t>其中，第五条、第十四条等涉及生态环境、渔业、林业、工业和信息化等管理部门表述性差异修改，第八条、第二十二条等涉及“环境影响评价”“排污单位”“清洁能源”“建立……制度”等名词术语的表述性差异修改，第九十四条由“停工整顿”更改为“停工整治”等，第二十一条、第二十五条等将“生态环境行政主管部门和其他负有大气环境保护监督管理职责的部门”修改为“负有大气环境保护监督管理职责的部门”；</w:t>
      </w:r>
      <w:r>
        <w:rPr>
          <w:rFonts w:hint="eastAsia" w:ascii="Times New Roman" w:hAnsi="Times New Roman" w:eastAsia="方正黑体_GBK" w:cs="方正仿宋_GBK"/>
          <w:sz w:val="32"/>
          <w:szCs w:val="32"/>
          <w:lang w:val="en-US" w:eastAsia="zh-CN"/>
        </w:rPr>
        <w:t>二是1条涉及法律原则的表述性修改</w:t>
      </w:r>
      <w:r>
        <w:rPr>
          <w:rFonts w:hint="eastAsia" w:ascii="Times New Roman" w:hAnsi="Times New Roman" w:eastAsia="方正仿宋_GBK" w:cs="方正仿宋_GBK"/>
          <w:sz w:val="32"/>
          <w:szCs w:val="32"/>
          <w:lang w:val="en-US" w:eastAsia="zh-CN"/>
        </w:rPr>
        <w:t>，第四条大气污染防治原则由“保护优先、防治结合、综合治理”更改为“预防为主、系统治理、生态优先、绿色发展”，由于内容重复，删除“建立政府监管、公众参与、共同治理、联防联控的防治机制”。</w:t>
      </w:r>
    </w:p>
    <w:p w14:paraId="2379CD24">
      <w:pPr>
        <w:keepNext w:val="0"/>
        <w:keepLines w:val="0"/>
        <w:widowControl/>
        <w:numPr>
          <w:ilvl w:val="0"/>
          <w:numId w:val="1"/>
        </w:numPr>
        <w:suppressLineNumbers w:val="0"/>
        <w:ind w:firstLine="640" w:firstLineChars="200"/>
        <w:jc w:val="left"/>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实质性差异修改内容</w:t>
      </w:r>
    </w:p>
    <w:p w14:paraId="7D06B208">
      <w:pPr>
        <w:keepNext w:val="0"/>
        <w:keepLines w:val="0"/>
        <w:widowControl/>
        <w:suppressLineNumbers w:val="0"/>
        <w:ind w:firstLine="640" w:firstLineChars="200"/>
        <w:jc w:val="left"/>
        <w:rPr>
          <w:rFonts w:hint="default" w:ascii="Times New Roman" w:hAnsi="Times New Roman" w:eastAsia="黑体" w:cs="黑体"/>
          <w:sz w:val="32"/>
          <w:szCs w:val="32"/>
          <w:highlight w:val="none"/>
          <w:lang w:val="en-US" w:eastAsia="zh-CN"/>
        </w:rPr>
      </w:pPr>
      <w:r>
        <w:rPr>
          <w:rFonts w:hint="eastAsia" w:ascii="Times New Roman" w:hAnsi="Times New Roman" w:eastAsia="黑体" w:cs="黑体"/>
          <w:sz w:val="32"/>
          <w:szCs w:val="32"/>
          <w:highlight w:val="none"/>
          <w:lang w:val="en-US" w:eastAsia="zh-CN"/>
        </w:rPr>
        <w:t>有32条为相关规定和要求不一致的实质性差异修改，其中，删除6条与法典完全一致的条款，新增1条关于露天焚烧相关内容。涉及的主要内容具体如下：</w:t>
      </w:r>
    </w:p>
    <w:p w14:paraId="3445BC86">
      <w:pPr>
        <w:keepNext w:val="0"/>
        <w:keepLines w:val="0"/>
        <w:widowControl/>
        <w:suppressLineNumbers w:val="0"/>
        <w:ind w:firstLine="640" w:firstLineChars="200"/>
        <w:jc w:val="left"/>
        <w:rPr>
          <w:rFonts w:hint="default"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1、2条涉及大气污染防治规划相关内容。目前，我省已不再制定大气污染防治规划，第三条删除“制定大气污染防治规划”修改为“应当正确处理高质量发展和高水平保护的关系”，纳入国民经济和社会发展规划的对象由“大气污染防治规划”修改为“大气污染防治工作”，增加与“交通运输结构调整”相结合；第七十四条“制定区域大气污染防治规划”修改为“制定区域大气污染防治行动计划”。</w:t>
      </w:r>
    </w:p>
    <w:p w14:paraId="0FEE708F">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3条涉及排污许可与总量控制相关内容。第九条总量控制区域限批对象依据法典增加“未完成大气环境质量目标的地区”；第十二条核发排污许可证的单位由“所在地生态环境行政主管部门”更改为“其生产经营场所所在地设区的市级以上地方人民政府生态环境主管部门”；删除十二条与法典完全一致的内容；删除第二十三条关于所有排污单位需要开展自行监测和公开数据的内容，执行法典中“监测数据保存五年以上”等更严格的要求；</w:t>
      </w:r>
    </w:p>
    <w:p w14:paraId="43766C16">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3条涉及能源消耗大气污染控制相关内容。第二十八条第二款燃煤机组污染控制依据法典增加“采用清洁生产工艺”，强化源头控制；第二十九条燃用煤炭删除第一款，优质煤炭不一定要经过洗选，修改后与法典完全一致，故删除；第三十一条高污染燃料禁燃区内“在用的”高污染燃料燃用设施更改为“已建成的”，监管范围更宽，监管部门由“所在地人民政府”更改为“设区的市级以上人民政府”，更为明确；</w:t>
      </w:r>
    </w:p>
    <w:p w14:paraId="06E4AB61">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3条涉及工业大气污染控制相关内容。第三十四条实施差别化价格政策的对象依据法典由“能耗超过限额标准或者排放重点大气污染物超过规定标准的企业”更改为“资源高消耗、高污染行业”，扩大执行范围；第三十九条为</w:t>
      </w:r>
      <w:r>
        <w:rPr>
          <w:rFonts w:hint="default" w:ascii="Times New Roman" w:hAnsi="Times New Roman" w:eastAsia="方正仿宋_GBK" w:cs="方正仿宋_GBK"/>
          <w:b w:val="0"/>
          <w:bCs w:val="0"/>
          <w:sz w:val="32"/>
          <w:szCs w:val="32"/>
          <w:lang w:val="en-US" w:eastAsia="zh-CN"/>
        </w:rPr>
        <w:t>贯彻《司法部办公厅 应急管理部办公厅关于正确理解和适用“工厂开窗还是关窗生产”执行标准的意见》（司法通〔2026〕26号）文件精神</w:t>
      </w:r>
      <w:r>
        <w:rPr>
          <w:rFonts w:hint="eastAsia" w:ascii="Times New Roman" w:hAnsi="Times New Roman" w:eastAsia="方正仿宋_GBK" w:cs="方正仿宋_GBK"/>
          <w:b w:val="0"/>
          <w:bCs w:val="0"/>
          <w:sz w:val="32"/>
          <w:szCs w:val="32"/>
          <w:lang w:val="en-US" w:eastAsia="zh-CN"/>
        </w:rPr>
        <w:t>，产生挥发性有机物废气的生产经营活动由“在密闭空间或者设备中进行”更改为“采用先进生产工艺设备减少无组织排放”，并删除“造船等无法在密闭空间进行的生产经营活动，应当采取有效措施，减少挥发性有机物排放量”，第四十一条油气回收依据法典删除“储气库”“加气站”“气罐车”，上述设施不涉及油气回收内容。</w:t>
      </w:r>
    </w:p>
    <w:p w14:paraId="5E1576CB">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4条涉及移动源污染控制。第四十六条机动车总量控制由“合理控制机动车保有量”修改为“合理控制燃油机动车保有量”；第四十九条船舶污染控制依据法典增加“发动机”作为管控对象；第五十一条移动源污染控制装置要求与法典完全一致，删除；第五十二条车船用燃料管控对象依据法典增加“氮氧化物还原剂”。</w:t>
      </w:r>
    </w:p>
    <w:p w14:paraId="4ACB506D">
      <w:pPr>
        <w:keepNext w:val="0"/>
        <w:keepLines w:val="0"/>
        <w:widowControl/>
        <w:numPr>
          <w:ilvl w:val="0"/>
          <w:numId w:val="2"/>
        </w:numPr>
        <w:suppressLineNumbers w:val="0"/>
        <w:ind w:firstLine="640" w:firstLineChars="200"/>
        <w:jc w:val="both"/>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1条涉及扬尘污染防治问题，第五十六条依据法典增加“在施工合同中明确施工单位的扬尘污染防治责任”，明确“施工单位应当制定具体的扬尘污染防治实施方案”，修改后我省条例对工程建设方与施工单位的责任都更加明确。</w:t>
      </w:r>
    </w:p>
    <w:p w14:paraId="731198A4">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2条涉及人民群众关心关切的餐饮油烟问题。第六十二条餐饮油烟监管方面，增加了强调“布局引导”相关内容，第六十三条增加了“防止对附近居民的正常生活环境造成污染”相关表述。</w:t>
      </w:r>
    </w:p>
    <w:p w14:paraId="42F956C7">
      <w:pPr>
        <w:keepNext w:val="0"/>
        <w:keepLines w:val="0"/>
        <w:widowControl/>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黑体" w:cs="黑体"/>
          <w:sz w:val="32"/>
          <w:szCs w:val="32"/>
          <w:lang w:val="en-US" w:eastAsia="zh-CN"/>
        </w:rPr>
        <w:t>9、</w:t>
      </w:r>
      <w:r>
        <w:rPr>
          <w:rFonts w:hint="eastAsia" w:ascii="Times New Roman" w:hAnsi="Times New Roman" w:eastAsia="方正仿宋_GBK" w:cs="方正仿宋_GBK"/>
          <w:b w:val="0"/>
          <w:bCs w:val="0"/>
          <w:sz w:val="32"/>
          <w:szCs w:val="32"/>
          <w:lang w:val="en-US" w:eastAsia="zh-CN"/>
        </w:rPr>
        <w:t>4条禁止露天焚烧方面，删除第六十五条第二款和第六十六条中关于露天焚烧秸秆和落叶的要求，增加了一条（修改后的第六十二条）统一规定，并与法典的禁止焚烧范围一致；第六十六条露天焚烧有毒有害物质的范围由全域禁止修改为“在人口集中地区和其他依法需要特殊保护的区域”，与法典一致。</w:t>
      </w:r>
    </w:p>
    <w:p w14:paraId="1BA2858C">
      <w:pPr>
        <w:keepNext w:val="0"/>
        <w:keepLines w:val="0"/>
        <w:widowControl/>
        <w:numPr>
          <w:ilvl w:val="0"/>
          <w:numId w:val="2"/>
        </w:numPr>
        <w:suppressLineNumbers w:val="0"/>
        <w:ind w:firstLine="640" w:firstLineChars="200"/>
        <w:jc w:val="left"/>
        <w:rPr>
          <w:rFonts w:hint="eastAsia" w:ascii="Times New Roman" w:hAnsi="Times New Roman" w:eastAsia="方正仿宋_GBK" w:cs="方正仿宋_GBK"/>
          <w:b w:val="0"/>
          <w:bCs w:val="0"/>
          <w:sz w:val="32"/>
          <w:szCs w:val="32"/>
          <w:lang w:val="en-US" w:eastAsia="zh-CN"/>
        </w:rPr>
      </w:pPr>
      <w:r>
        <w:rPr>
          <w:rFonts w:hint="eastAsia" w:ascii="Times New Roman" w:hAnsi="Times New Roman" w:eastAsia="方正仿宋_GBK" w:cs="方正仿宋_GBK"/>
          <w:b w:val="0"/>
          <w:bCs w:val="0"/>
          <w:sz w:val="32"/>
          <w:szCs w:val="32"/>
          <w:lang w:val="en-US" w:eastAsia="zh-CN"/>
        </w:rPr>
        <w:t>3条涉及重污染天气应对与污染事故风险预警。第七十六条、第七十七条重污染天气“应急”更改为“应对”；制定重污染天气应急对预案的对象由“县级以上地方人民政府”修改为“设区的市级以上地方人民政府以及可能发生重污染天气的人民政府”，应对措施中依据法典增加“非道路移动机械使用”；第七十八条应急预案实施与法典完全一致，删除。</w:t>
      </w:r>
    </w:p>
    <w:p w14:paraId="68682FD6">
      <w:pPr>
        <w:keepNext w:val="0"/>
        <w:keepLines w:val="0"/>
        <w:widowControl/>
        <w:numPr>
          <w:ilvl w:val="0"/>
          <w:numId w:val="3"/>
        </w:numPr>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b w:val="0"/>
          <w:bCs w:val="0"/>
          <w:sz w:val="32"/>
          <w:szCs w:val="32"/>
          <w:lang w:val="en-US" w:eastAsia="zh-CN"/>
        </w:rPr>
        <w:t>3条涉及环境目标责任与考核评价制度。第二十六条有关举报奖励的内容修改为“接受举报的部门应当为举报人保密，举报内容对生态环境保护工作有重要推动作用的，应当按照有关规定对举报人给予奖励”；第十七条按照法典修改问题约谈的对象和情形；第十六条查封、扣押相关要求，法典的情形和对象更为全面，删除。</w:t>
      </w:r>
    </w:p>
    <w:p w14:paraId="0BABE3B2">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黑体" w:cs="黑体"/>
          <w:sz w:val="32"/>
          <w:szCs w:val="32"/>
          <w:lang w:val="en-US" w:eastAsia="zh-CN"/>
        </w:rPr>
        <w:t>11、</w:t>
      </w:r>
      <w:r>
        <w:rPr>
          <w:rFonts w:hint="eastAsia" w:ascii="Times New Roman" w:hAnsi="Times New Roman" w:eastAsia="方正仿宋_GBK" w:cs="方正仿宋_GBK"/>
          <w:b w:val="0"/>
          <w:bCs w:val="0"/>
          <w:sz w:val="32"/>
          <w:szCs w:val="32"/>
          <w:lang w:val="en-US" w:eastAsia="zh-CN"/>
        </w:rPr>
        <w:t>3条涉及立法依据修改</w:t>
      </w:r>
      <w:r>
        <w:rPr>
          <w:rFonts w:hint="eastAsia" w:ascii="Times New Roman" w:hAnsi="Times New Roman" w:eastAsia="黑体" w:cs="黑体"/>
          <w:sz w:val="32"/>
          <w:szCs w:val="32"/>
          <w:lang w:val="en-US" w:eastAsia="zh-CN"/>
        </w:rPr>
        <w:t>，</w:t>
      </w:r>
      <w:r>
        <w:rPr>
          <w:rFonts w:hint="eastAsia" w:ascii="Times New Roman" w:hAnsi="Times New Roman" w:eastAsia="方正仿宋_GBK" w:cs="方正仿宋_GBK"/>
          <w:sz w:val="32"/>
          <w:szCs w:val="32"/>
          <w:lang w:val="en-US" w:eastAsia="zh-CN"/>
        </w:rPr>
        <w:t>第一条、第七十九条、第九十三条法律依据删除废止的《中华人民共和国环境保护法》《中华人民共和国大气污染防治法》，修改为《中华人民共和国生态环境法典》。</w:t>
      </w:r>
    </w:p>
    <w:p w14:paraId="7F305E8D">
      <w:pPr>
        <w:keepNext w:val="0"/>
        <w:keepLines w:val="0"/>
        <w:widowControl/>
        <w:suppressLineNumbers w:val="0"/>
        <w:ind w:firstLine="640" w:firstLineChars="200"/>
        <w:jc w:val="left"/>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12、1条涉及术语修改。第一百零六条术语定义，删除“排污单位”术语定义，与《江苏省机动车和非道路移动机械排气污染防治条例》一致，修改非道路移动机械定义。</w:t>
      </w:r>
    </w:p>
    <w:p w14:paraId="086EF9AC">
      <w:pPr>
        <w:keepNext w:val="0"/>
        <w:keepLines w:val="0"/>
        <w:pageBreakBefore w:val="0"/>
        <w:widowControl/>
        <w:suppressLineNumbers w:val="0"/>
        <w:kinsoku/>
        <w:wordWrap/>
        <w:overflowPunct/>
        <w:topLinePunct w:val="0"/>
        <w:autoSpaceDE/>
        <w:autoSpaceDN/>
        <w:bidi w:val="0"/>
        <w:adjustRightInd/>
        <w:snapToGrid/>
        <w:spacing w:before="120" w:after="120"/>
        <w:ind w:firstLine="640" w:firstLineChars="200"/>
        <w:jc w:val="left"/>
        <w:textAlignment w:val="auto"/>
        <w:rPr>
          <w:rFonts w:hint="default" w:ascii="Times New Roman" w:hAnsi="Times New Roman" w:eastAsia="方正黑体_GBK" w:cs="方正黑体_GBK"/>
          <w:sz w:val="32"/>
          <w:szCs w:val="32"/>
          <w:lang w:val="en-US" w:eastAsia="zh-CN"/>
        </w:rPr>
      </w:pPr>
      <w:r>
        <w:rPr>
          <w:rFonts w:hint="eastAsia" w:ascii="Times New Roman" w:hAnsi="Times New Roman" w:eastAsia="方正黑体_GBK" w:cs="方正黑体_GBK"/>
          <w:sz w:val="32"/>
          <w:szCs w:val="32"/>
          <w:lang w:val="en-US" w:eastAsia="zh-CN"/>
        </w:rPr>
        <w:t>（二）关于罚则内容的修改</w:t>
      </w:r>
    </w:p>
    <w:p w14:paraId="3A76F08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120" w:beforeAutospacing="0" w:after="120" w:afterAutospacing="0"/>
        <w:ind w:left="0" w:right="0" w:firstLine="640" w:firstLineChars="200"/>
        <w:textAlignment w:val="auto"/>
        <w:rPr>
          <w:rFonts w:hint="default" w:ascii="Times New Roman" w:hAnsi="Times New Roman" w:eastAsia="方正仿宋_GBK" w:cs="方正仿宋_GBK"/>
          <w:b w:val="0"/>
          <w:bCs w:val="0"/>
          <w:kern w:val="2"/>
          <w:sz w:val="32"/>
          <w:szCs w:val="32"/>
          <w:lang w:val="en-US" w:eastAsia="zh-CN" w:bidi="ar-SA"/>
        </w:rPr>
      </w:pPr>
      <w:r>
        <w:rPr>
          <w:rFonts w:hint="eastAsia" w:ascii="Times New Roman" w:hAnsi="Times New Roman" w:eastAsia="方正仿宋_GBK" w:cs="方正仿宋_GBK"/>
          <w:b w:val="0"/>
          <w:bCs w:val="0"/>
          <w:kern w:val="2"/>
          <w:sz w:val="32"/>
          <w:szCs w:val="32"/>
          <w:lang w:val="en-US" w:eastAsia="zh-CN" w:bidi="ar-SA"/>
        </w:rPr>
        <w:t>1、</w:t>
      </w:r>
      <w:r>
        <w:rPr>
          <w:rFonts w:hint="eastAsia" w:ascii="方正黑体_GBK" w:hAnsi="方正黑体_GBK" w:eastAsia="方正黑体_GBK" w:cs="方正黑体_GBK"/>
          <w:b w:val="0"/>
          <w:bCs w:val="0"/>
          <w:kern w:val="2"/>
          <w:sz w:val="32"/>
          <w:szCs w:val="32"/>
          <w:lang w:val="en-US" w:eastAsia="zh-CN" w:bidi="ar-SA"/>
        </w:rPr>
        <w:t>增加1条援引性条款。</w:t>
      </w:r>
      <w:r>
        <w:rPr>
          <w:rFonts w:hint="eastAsia" w:ascii="Times New Roman" w:hAnsi="Times New Roman" w:eastAsia="方正仿宋_GBK" w:cs="方正仿宋_GBK"/>
          <w:b w:val="0"/>
          <w:bCs w:val="0"/>
          <w:kern w:val="2"/>
          <w:sz w:val="32"/>
          <w:szCs w:val="32"/>
          <w:lang w:val="en-US" w:eastAsia="zh-CN" w:bidi="ar-SA"/>
        </w:rPr>
        <w:t>增加“第七十五条 对违反本条例规定的行为，法律、法规已有处罚规定的，从其规定”，防止执法中的法律适用冲突，体现上位法优先，并为后续修订与解释留出空间。</w:t>
      </w:r>
    </w:p>
    <w:p w14:paraId="2B075975">
      <w:pPr>
        <w:keepNext w:val="0"/>
        <w:keepLines w:val="0"/>
        <w:widowControl/>
        <w:suppressLineNumbers w:val="0"/>
        <w:ind w:firstLine="640" w:firstLineChars="200"/>
        <w:jc w:val="both"/>
        <w:rPr>
          <w:rFonts w:hint="eastAsia" w:ascii="Times New Roman" w:hAnsi="Times New Roman" w:eastAsia="方正仿宋_GBK" w:cs="方正仿宋_GBK"/>
          <w:sz w:val="32"/>
          <w:szCs w:val="32"/>
          <w:lang w:val="en-US" w:eastAsia="zh-CN"/>
        </w:rPr>
      </w:pPr>
      <w:r>
        <w:rPr>
          <w:rFonts w:hint="eastAsia" w:ascii="Times New Roman" w:hAnsi="Times New Roman" w:eastAsia="方正黑体_GBK" w:cs="方正黑体_GBK"/>
          <w:sz w:val="32"/>
          <w:szCs w:val="32"/>
          <w:lang w:val="en-US" w:eastAsia="zh-CN"/>
        </w:rPr>
        <w:t>2、删除14条与法典一致或者冲突的罚则相关内容</w:t>
      </w:r>
      <w:r>
        <w:rPr>
          <w:rFonts w:hint="eastAsia" w:ascii="Times New Roman" w:hAnsi="Times New Roman" w:eastAsia="方正仿宋_GBK" w:cs="方正仿宋_GBK"/>
          <w:sz w:val="32"/>
          <w:szCs w:val="32"/>
          <w:lang w:val="en-US" w:eastAsia="zh-CN"/>
        </w:rPr>
        <w:t>。主要包括：第八十条违反排污许可相关规定、第八十五条禁燃区内销售高污染燃料、第八十八条油气回收、第九十一条禁行区内使用高排放非道路移动机械、第九十二条未按照规定加装/更换污染控制装置的机动车和非道路移动机械、第九十三条移动源燃料及添加剂、第九十五条运输垃圾渣土扬尘污染防治、第九十六条餐饮油烟污染防治、第九十八条干洗和汽修污染防治、第九十九条露天焚烧、第一百条喷洒农药、第一百零一条大气污染事故、第一百零二条按日计罚、第一百零五条行政处罚。</w:t>
      </w:r>
    </w:p>
    <w:p w14:paraId="3DC8478A">
      <w:pPr>
        <w:keepNext w:val="0"/>
        <w:keepLines w:val="0"/>
        <w:widowControl/>
        <w:suppressLineNumbers w:val="0"/>
        <w:ind w:firstLine="640" w:firstLineChars="200"/>
        <w:jc w:val="left"/>
        <w:rPr>
          <w:rFonts w:ascii="Times New Roman" w:hAnsi="Times New Roman" w:eastAsia="方正黑体_GBK" w:cs="Times New Roman"/>
          <w:sz w:val="32"/>
          <w:szCs w:val="32"/>
        </w:rPr>
      </w:pPr>
      <w:r>
        <w:rPr>
          <w:rFonts w:hint="eastAsia" w:ascii="Times New Roman" w:hAnsi="Times New Roman" w:eastAsia="方正黑体_GBK" w:cs="方正黑体_GBK"/>
          <w:sz w:val="32"/>
          <w:szCs w:val="32"/>
          <w:lang w:val="en-US" w:eastAsia="zh-CN"/>
        </w:rPr>
        <w:t>3、</w:t>
      </w:r>
      <w:r>
        <w:rPr>
          <w:rFonts w:hint="eastAsia" w:ascii="方正黑体_GBK" w:hAnsi="方正黑体_GBK" w:eastAsia="方正黑体_GBK" w:cs="方正黑体_GBK"/>
          <w:sz w:val="32"/>
          <w:szCs w:val="32"/>
          <w:lang w:val="en-US" w:eastAsia="zh-CN"/>
        </w:rPr>
        <w:t>保留我省特色条款的罚则，并修改10条，新增1条，保持与法典衔接、不冲突。</w:t>
      </w:r>
      <w:r>
        <w:rPr>
          <w:rFonts w:hint="eastAsia" w:ascii="Times New Roman" w:hAnsi="Times New Roman" w:eastAsia="方正仿宋_GBK" w:cs="方正仿宋_GBK"/>
          <w:sz w:val="32"/>
          <w:szCs w:val="32"/>
          <w:lang w:val="en-US" w:eastAsia="zh-CN"/>
        </w:rPr>
        <w:t>第八十一条前述条款中已删除排污单位监测的相关规定，故删除相关罚则，保留重点排污单位监测罚则，并修改监测数据保存时间，由3年更改为5年，与法典一致；第八十三条保留散煤污染控制罚则，销售不符合规定散煤和固硫型煤的罚金由“处货值金额一倍以上三倍以下罚款更改为“处货值金额一倍以上五倍以下罚款”，与法典保持一致；第八十四条保留我省特色条款“燃气管网和集中供热管网覆盖范围内，新建、扩建燃用煤炭、重油、渣油的设施”罚则，罚金上限依据法典由“十万元”更改为“二十万元”；修改九十四条，与前述规定条款一致。其他包括监管部门修改、管理对象进一步明确等，保持与前述条款一致。</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0AF8C9C-A2F1-44F5-BFD9-66F1EAE9EEB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embedRegular r:id="rId2" w:fontKey="{97001518-E8CD-473C-9585-1768CE39F74A}"/>
  </w:font>
  <w:font w:name="方正仿宋_GBK">
    <w:panose1 w:val="03000509000000000000"/>
    <w:charset w:val="86"/>
    <w:family w:val="script"/>
    <w:pitch w:val="default"/>
    <w:sig w:usb0="00000001" w:usb1="080E0000" w:usb2="00000000" w:usb3="00000000" w:csb0="00040000" w:csb1="00000000"/>
    <w:embedRegular r:id="rId3" w:fontKey="{DA141780-45CC-4B3D-8AED-A2C1CF069D99}"/>
  </w:font>
  <w:font w:name="方正黑体_GBK">
    <w:panose1 w:val="03000509000000000000"/>
    <w:charset w:val="86"/>
    <w:family w:val="script"/>
    <w:pitch w:val="default"/>
    <w:sig w:usb0="00000001" w:usb1="080E0000" w:usb2="00000000" w:usb3="00000000" w:csb0="00040000" w:csb1="00000000"/>
    <w:embedRegular r:id="rId4" w:fontKey="{3A535390-8D48-4E37-96B1-2D5E07D079E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F7578">
    <w:pPr>
      <w:pStyle w:val="3"/>
      <w:jc w:val="center"/>
      <w:rPr>
        <w:rFonts w:ascii="Times New Roman" w:hAnsi="Times New Roman" w:cs="Times New Roman"/>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8352338"/>
                            <w:docPartObj>
                              <w:docPartGallery w:val="autotext"/>
                            </w:docPartObj>
                          </w:sdtPr>
                          <w:sdtEndPr>
                            <w:rPr>
                              <w:rFonts w:ascii="Times New Roman" w:hAnsi="Times New Roman" w:cs="Times New Roman"/>
                              <w:sz w:val="24"/>
                              <w:szCs w:val="24"/>
                            </w:rPr>
                          </w:sdtEndPr>
                          <w:sdtContent>
                            <w:p w14:paraId="1B941EEA">
                              <w:pPr>
                                <w:pStyle w:val="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2</w:t>
                              </w:r>
                              <w:r>
                                <w:rPr>
                                  <w:rFonts w:ascii="Times New Roman" w:hAnsi="Times New Roman" w:cs="Times New Roman"/>
                                  <w:sz w:val="24"/>
                                  <w:szCs w:val="24"/>
                                </w:rPr>
                                <w:fldChar w:fldCharType="end"/>
                              </w:r>
                            </w:p>
                          </w:sdtContent>
                        </w:sdt>
                        <w:p w14:paraId="20312774">
                          <w:pPr>
                            <w:rPr>
                              <w:rFonts w:ascii="Times New Roman" w:hAnsi="Times New Roman" w:cs="Times New Roman"/>
                              <w:sz w:val="24"/>
                              <w:szCs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88352338"/>
                      <w:docPartObj>
                        <w:docPartGallery w:val="autotext"/>
                      </w:docPartObj>
                    </w:sdtPr>
                    <w:sdtEndPr>
                      <w:rPr>
                        <w:rFonts w:ascii="Times New Roman" w:hAnsi="Times New Roman" w:cs="Times New Roman"/>
                        <w:sz w:val="24"/>
                        <w:szCs w:val="24"/>
                      </w:rPr>
                    </w:sdtEndPr>
                    <w:sdtContent>
                      <w:p w14:paraId="1B941EEA">
                        <w:pPr>
                          <w:pStyle w:val="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2</w:t>
                        </w:r>
                        <w:r>
                          <w:rPr>
                            <w:rFonts w:ascii="Times New Roman" w:hAnsi="Times New Roman" w:cs="Times New Roman"/>
                            <w:sz w:val="24"/>
                            <w:szCs w:val="24"/>
                          </w:rPr>
                          <w:fldChar w:fldCharType="end"/>
                        </w:r>
                      </w:p>
                    </w:sdtContent>
                  </w:sdt>
                  <w:p w14:paraId="20312774">
                    <w:pPr>
                      <w:rPr>
                        <w:rFonts w:ascii="Times New Roman" w:hAnsi="Times New Roman" w:cs="Times New Roman"/>
                        <w:sz w:val="24"/>
                        <w:szCs w:val="24"/>
                      </w:rPr>
                    </w:pPr>
                  </w:p>
                </w:txbxContent>
              </v:textbox>
            </v:shape>
          </w:pict>
        </mc:Fallback>
      </mc:AlternateContent>
    </w:r>
  </w:p>
  <w:p w14:paraId="12487BDC">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BE4603"/>
    <w:multiLevelType w:val="singleLevel"/>
    <w:tmpl w:val="D5BE4603"/>
    <w:lvl w:ilvl="0" w:tentative="0">
      <w:start w:val="1"/>
      <w:numFmt w:val="chineseCounting"/>
      <w:suff w:val="nothing"/>
      <w:lvlText w:val="（%1）"/>
      <w:lvlJc w:val="left"/>
      <w:rPr>
        <w:rFonts w:hint="eastAsia"/>
      </w:rPr>
    </w:lvl>
  </w:abstractNum>
  <w:abstractNum w:abstractNumId="1">
    <w:nsid w:val="6DCDACB7"/>
    <w:multiLevelType w:val="singleLevel"/>
    <w:tmpl w:val="6DCDACB7"/>
    <w:lvl w:ilvl="0" w:tentative="0">
      <w:start w:val="2"/>
      <w:numFmt w:val="decimal"/>
      <w:suff w:val="space"/>
      <w:lvlText w:val="%1、"/>
      <w:lvlJc w:val="left"/>
    </w:lvl>
  </w:abstractNum>
  <w:abstractNum w:abstractNumId="2">
    <w:nsid w:val="7FA965A6"/>
    <w:multiLevelType w:val="singleLevel"/>
    <w:tmpl w:val="7FA965A6"/>
    <w:lvl w:ilvl="0" w:tentative="0">
      <w:start w:val="10"/>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904"/>
    <w:rsid w:val="0002117B"/>
    <w:rsid w:val="00021A44"/>
    <w:rsid w:val="00067D17"/>
    <w:rsid w:val="00080519"/>
    <w:rsid w:val="000A25B9"/>
    <w:rsid w:val="000A2BD4"/>
    <w:rsid w:val="000B1250"/>
    <w:rsid w:val="000D45F9"/>
    <w:rsid w:val="000D68C0"/>
    <w:rsid w:val="001645F8"/>
    <w:rsid w:val="001B237A"/>
    <w:rsid w:val="001C63C5"/>
    <w:rsid w:val="001D48E4"/>
    <w:rsid w:val="002200A4"/>
    <w:rsid w:val="00231C51"/>
    <w:rsid w:val="0024027E"/>
    <w:rsid w:val="00247ED0"/>
    <w:rsid w:val="00251BC5"/>
    <w:rsid w:val="00286395"/>
    <w:rsid w:val="002C6D8B"/>
    <w:rsid w:val="002D3F2A"/>
    <w:rsid w:val="002D7F5F"/>
    <w:rsid w:val="002F08B5"/>
    <w:rsid w:val="00387109"/>
    <w:rsid w:val="00396C56"/>
    <w:rsid w:val="003E25AC"/>
    <w:rsid w:val="00410EA8"/>
    <w:rsid w:val="004377B8"/>
    <w:rsid w:val="00454CEB"/>
    <w:rsid w:val="00460E29"/>
    <w:rsid w:val="00493B73"/>
    <w:rsid w:val="004C3887"/>
    <w:rsid w:val="004F44D2"/>
    <w:rsid w:val="00505C0E"/>
    <w:rsid w:val="00530AF1"/>
    <w:rsid w:val="0055062B"/>
    <w:rsid w:val="00555AF2"/>
    <w:rsid w:val="005D6A82"/>
    <w:rsid w:val="006A0994"/>
    <w:rsid w:val="006A651B"/>
    <w:rsid w:val="006C7E72"/>
    <w:rsid w:val="006E0BED"/>
    <w:rsid w:val="006F2B8E"/>
    <w:rsid w:val="0078237E"/>
    <w:rsid w:val="00793C45"/>
    <w:rsid w:val="007B168F"/>
    <w:rsid w:val="007B2904"/>
    <w:rsid w:val="007E0D88"/>
    <w:rsid w:val="0081171B"/>
    <w:rsid w:val="0085773A"/>
    <w:rsid w:val="0086454C"/>
    <w:rsid w:val="00866960"/>
    <w:rsid w:val="008824B2"/>
    <w:rsid w:val="008A7710"/>
    <w:rsid w:val="008B308B"/>
    <w:rsid w:val="00901363"/>
    <w:rsid w:val="0092324F"/>
    <w:rsid w:val="00930492"/>
    <w:rsid w:val="009529CB"/>
    <w:rsid w:val="009717A0"/>
    <w:rsid w:val="009A746D"/>
    <w:rsid w:val="00A7542D"/>
    <w:rsid w:val="00A81AA9"/>
    <w:rsid w:val="00A96F31"/>
    <w:rsid w:val="00AA201E"/>
    <w:rsid w:val="00AD4B66"/>
    <w:rsid w:val="00AF3C85"/>
    <w:rsid w:val="00AF3E79"/>
    <w:rsid w:val="00B0593F"/>
    <w:rsid w:val="00B20D50"/>
    <w:rsid w:val="00B26DBF"/>
    <w:rsid w:val="00B80762"/>
    <w:rsid w:val="00B83EA8"/>
    <w:rsid w:val="00BA6C3A"/>
    <w:rsid w:val="00BB3259"/>
    <w:rsid w:val="00BC1594"/>
    <w:rsid w:val="00BC7ECB"/>
    <w:rsid w:val="00BD18BC"/>
    <w:rsid w:val="00C31AA4"/>
    <w:rsid w:val="00C569DD"/>
    <w:rsid w:val="00C806B1"/>
    <w:rsid w:val="00C9767E"/>
    <w:rsid w:val="00D50B03"/>
    <w:rsid w:val="00D51B99"/>
    <w:rsid w:val="00DF0630"/>
    <w:rsid w:val="00E12CE5"/>
    <w:rsid w:val="00E15B7E"/>
    <w:rsid w:val="00E169A2"/>
    <w:rsid w:val="00E53DBB"/>
    <w:rsid w:val="00E6410B"/>
    <w:rsid w:val="00E6451B"/>
    <w:rsid w:val="00E74A8A"/>
    <w:rsid w:val="00EA491D"/>
    <w:rsid w:val="00EB75EA"/>
    <w:rsid w:val="00F23268"/>
    <w:rsid w:val="00F54FD1"/>
    <w:rsid w:val="00F862CF"/>
    <w:rsid w:val="00FA7D08"/>
    <w:rsid w:val="00FB4724"/>
    <w:rsid w:val="00FD221B"/>
    <w:rsid w:val="028C6E42"/>
    <w:rsid w:val="03AE2F93"/>
    <w:rsid w:val="04215CDB"/>
    <w:rsid w:val="10ED00F6"/>
    <w:rsid w:val="1D001D5B"/>
    <w:rsid w:val="25CE378E"/>
    <w:rsid w:val="26F00609"/>
    <w:rsid w:val="364B6FB4"/>
    <w:rsid w:val="3DDB9FF5"/>
    <w:rsid w:val="3DFDD048"/>
    <w:rsid w:val="3E5C4D7B"/>
    <w:rsid w:val="4A162946"/>
    <w:rsid w:val="4FFE4472"/>
    <w:rsid w:val="546316FF"/>
    <w:rsid w:val="624B21C4"/>
    <w:rsid w:val="6DD06BE1"/>
    <w:rsid w:val="7FFD5FE1"/>
    <w:rsid w:val="BAF0EAAF"/>
    <w:rsid w:val="BBBF4B21"/>
    <w:rsid w:val="BE5C7A8C"/>
    <w:rsid w:val="DD7FB577"/>
    <w:rsid w:val="EC7C46BF"/>
    <w:rsid w:val="EFF7662F"/>
    <w:rsid w:val="F5D753D3"/>
    <w:rsid w:val="F7FF716E"/>
    <w:rsid w:val="FA7EBB9D"/>
    <w:rsid w:val="FEDB1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character" w:customStyle="1" w:styleId="10">
    <w:name w:val="页眉 字符"/>
    <w:basedOn w:val="8"/>
    <w:link w:val="4"/>
    <w:qFormat/>
    <w:uiPriority w:val="99"/>
    <w:rPr>
      <w:sz w:val="18"/>
      <w:szCs w:val="18"/>
    </w:rPr>
  </w:style>
  <w:style w:type="character" w:customStyle="1" w:styleId="11">
    <w:name w:val="页脚 字符"/>
    <w:basedOn w:val="8"/>
    <w:link w:val="3"/>
    <w:qFormat/>
    <w:uiPriority w:val="99"/>
    <w:rPr>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3439</Words>
  <Characters>3469</Characters>
  <Lines>165</Lines>
  <Paragraphs>46</Paragraphs>
  <TotalTime>1</TotalTime>
  <ScaleCrop>false</ScaleCrop>
  <LinksUpToDate>false</LinksUpToDate>
  <CharactersWithSpaces>3471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2026-03-27T10:10:00Z</dcterms:created>
  <dc:creator>书华</dc:creator>
  <cp:lastModifiedBy>眼窝深陷</cp:lastModifiedBy>
  <cp:lastPrinted>2026-05-08T08:51:00Z</cp:lastPrinted>
  <dcterms:modified xsi:type="dcterms:W3CDTF">2026-05-12T02:48:12Z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5F035CBFB3DDCC81E888026AB11AA89B_43</vt:lpwstr>
  </property>
  <property fmtid="{D5CDD505-2E9C-101B-9397-08002B2CF9AE}" pid="4" name="KSOTemplateDocerSaveRecord">
    <vt:lpwstr>eyJoZGlkIjoiZjFmZWIzNDg2MmIzZjExOTIzMmViNTBmYTMwYTk0ZWYiLCJ1c2VySWQiOiI5OTI3MTI5MTEifQ==</vt:lpwstr>
  </property>
</Properties>
</file>