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9F64A">
      <w:pPr>
        <w:keepNext w:val="0"/>
        <w:keepLines w:val="0"/>
        <w:pageBreakBefore w:val="0"/>
        <w:kinsoku/>
        <w:wordWrap/>
        <w:overflowPunct/>
        <w:topLinePunct w:val="0"/>
        <w:bidi w:val="0"/>
        <w:snapToGrid/>
        <w:spacing w:line="580" w:lineRule="exact"/>
        <w:jc w:val="center"/>
        <w:textAlignment w:val="auto"/>
        <w:rPr>
          <w:rFonts w:hint="eastAsia" w:ascii="方正小标宋_GBK" w:hAnsi="方正小标宋_GBK" w:eastAsia="方正小标宋_GBK" w:cs="方正小标宋_GBK"/>
          <w:color w:val="auto"/>
          <w:sz w:val="44"/>
          <w:szCs w:val="44"/>
          <w:highlight w:val="none"/>
        </w:rPr>
      </w:pPr>
    </w:p>
    <w:p w14:paraId="245EB562">
      <w:pPr>
        <w:keepNext w:val="0"/>
        <w:keepLines w:val="0"/>
        <w:pageBreakBefore w:val="0"/>
        <w:kinsoku/>
        <w:wordWrap/>
        <w:overflowPunct/>
        <w:topLinePunct w:val="0"/>
        <w:bidi w:val="0"/>
        <w:snapToGrid/>
        <w:spacing w:line="580" w:lineRule="exact"/>
        <w:jc w:val="center"/>
        <w:textAlignment w:val="auto"/>
        <w:rPr>
          <w:rFonts w:hint="eastAsia" w:ascii="方正小标宋_GBK" w:hAnsi="方正小标宋_GBK" w:eastAsia="方正小标宋_GBK" w:cs="方正小标宋_GBK"/>
          <w:color w:val="auto"/>
          <w:sz w:val="44"/>
          <w:szCs w:val="44"/>
          <w:highlight w:val="none"/>
        </w:rPr>
      </w:pPr>
    </w:p>
    <w:p w14:paraId="75224859">
      <w:pPr>
        <w:keepNext w:val="0"/>
        <w:keepLines w:val="0"/>
        <w:pageBreakBefore w:val="0"/>
        <w:kinsoku/>
        <w:wordWrap/>
        <w:overflowPunct/>
        <w:topLinePunct w:val="0"/>
        <w:bidi w:val="0"/>
        <w:snapToGrid/>
        <w:spacing w:line="580" w:lineRule="exact"/>
        <w:jc w:val="center"/>
        <w:textAlignment w:val="auto"/>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关</w:t>
      </w:r>
      <w:r>
        <w:rPr>
          <w:rFonts w:hint="eastAsia" w:ascii="方正小标宋_GBK" w:hAnsi="方正小标宋_GBK" w:eastAsia="方正小标宋_GBK" w:cs="方正小标宋_GBK"/>
          <w:color w:val="auto"/>
          <w:sz w:val="44"/>
          <w:szCs w:val="44"/>
          <w:highlight w:val="none"/>
        </w:rPr>
        <w:t>于</w:t>
      </w:r>
      <w:r>
        <w:rPr>
          <w:rFonts w:hint="eastAsia" w:ascii="方正小标宋_GBK" w:hAnsi="方正小标宋_GBK" w:eastAsia="方正小标宋_GBK" w:cs="方正小标宋_GBK"/>
          <w:color w:val="auto"/>
          <w:sz w:val="44"/>
          <w:szCs w:val="44"/>
          <w:highlight w:val="none"/>
          <w:lang w:val="en-US" w:eastAsia="zh-CN"/>
        </w:rPr>
        <w:t>统筹推进</w:t>
      </w:r>
      <w:r>
        <w:rPr>
          <w:rFonts w:hint="eastAsia" w:ascii="方正小标宋_GBK" w:hAnsi="方正小标宋_GBK" w:eastAsia="方正小标宋_GBK" w:cs="方正小标宋_GBK"/>
          <w:color w:val="auto"/>
          <w:sz w:val="44"/>
          <w:szCs w:val="44"/>
          <w:highlight w:val="none"/>
        </w:rPr>
        <w:t>生</w:t>
      </w:r>
      <w:r>
        <w:rPr>
          <w:rFonts w:hint="eastAsia" w:ascii="方正小标宋_GBK" w:hAnsi="方正小标宋_GBK" w:eastAsia="方正小标宋_GBK" w:cs="方正小标宋_GBK"/>
          <w:color w:val="auto"/>
          <w:sz w:val="44"/>
          <w:szCs w:val="44"/>
          <w:highlight w:val="none"/>
        </w:rPr>
        <w:t>态环境损害赔偿的决定</w:t>
      </w:r>
    </w:p>
    <w:p w14:paraId="4F621652">
      <w:pPr>
        <w:keepNext w:val="0"/>
        <w:keepLines w:val="0"/>
        <w:pageBreakBefore w:val="0"/>
        <w:kinsoku/>
        <w:wordWrap/>
        <w:overflowPunct/>
        <w:topLinePunct w:val="0"/>
        <w:bidi w:val="0"/>
        <w:snapToGrid/>
        <w:spacing w:line="580" w:lineRule="exact"/>
        <w:jc w:val="center"/>
        <w:textAlignment w:val="auto"/>
        <w:rPr>
          <w:rFonts w:hint="default" w:ascii="方正楷体_GBK" w:hAnsi="方正楷体_GBK" w:eastAsia="方正楷体_GBK" w:cs="方正楷体_GBK"/>
          <w:color w:val="auto"/>
          <w:sz w:val="32"/>
          <w:szCs w:val="32"/>
          <w:highlight w:val="none"/>
          <w:lang w:val="en-US" w:eastAsia="zh-CN"/>
        </w:rPr>
      </w:pPr>
      <w:r>
        <w:rPr>
          <w:rFonts w:hint="default" w:ascii="方正楷体_GBK" w:hAnsi="方正楷体_GBK" w:eastAsia="方正楷体_GBK" w:cs="方正楷体_GBK"/>
          <w:color w:val="auto"/>
          <w:sz w:val="32"/>
          <w:szCs w:val="32"/>
          <w:highlight w:val="none"/>
          <w:lang w:val="en-US" w:eastAsia="zh-CN"/>
        </w:rPr>
        <w:t>（</w:t>
      </w:r>
      <w:r>
        <w:rPr>
          <w:rFonts w:hint="eastAsia" w:ascii="方正楷体_GBK" w:hAnsi="方正楷体_GBK" w:eastAsia="方正楷体_GBK" w:cs="方正楷体_GBK"/>
          <w:color w:val="auto"/>
          <w:sz w:val="32"/>
          <w:szCs w:val="32"/>
          <w:highlight w:val="none"/>
          <w:lang w:val="en-US" w:eastAsia="zh-CN"/>
        </w:rPr>
        <w:t>征求意见</w:t>
      </w:r>
      <w:bookmarkStart w:id="0" w:name="_GoBack"/>
      <w:bookmarkEnd w:id="0"/>
      <w:r>
        <w:rPr>
          <w:rFonts w:hint="default" w:ascii="方正楷体_GBK" w:hAnsi="方正楷体_GBK" w:eastAsia="方正楷体_GBK" w:cs="方正楷体_GBK"/>
          <w:color w:val="auto"/>
          <w:sz w:val="32"/>
          <w:szCs w:val="32"/>
          <w:highlight w:val="none"/>
          <w:lang w:val="en-US" w:eastAsia="zh-CN"/>
        </w:rPr>
        <w:t>稿）</w:t>
      </w:r>
    </w:p>
    <w:p w14:paraId="12D2B0D7">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rPr>
      </w:pPr>
    </w:p>
    <w:p w14:paraId="0A08CE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为</w:t>
      </w:r>
      <w:r>
        <w:rPr>
          <w:rFonts w:hint="eastAsia" w:ascii="方正仿宋_GBK" w:hAnsi="方正仿宋_GBK" w:eastAsia="方正仿宋_GBK" w:cs="方正仿宋_GBK"/>
          <w:color w:val="auto"/>
          <w:sz w:val="32"/>
          <w:szCs w:val="32"/>
          <w:highlight w:val="none"/>
          <w:lang w:val="en-US" w:eastAsia="zh-CN"/>
        </w:rPr>
        <w:t>统筹推进</w:t>
      </w:r>
      <w:r>
        <w:rPr>
          <w:rFonts w:hint="eastAsia" w:ascii="方正仿宋_GBK" w:hAnsi="方正仿宋_GBK" w:eastAsia="方正仿宋_GBK" w:cs="方正仿宋_GBK"/>
          <w:color w:val="auto"/>
          <w:sz w:val="32"/>
          <w:szCs w:val="32"/>
          <w:highlight w:val="none"/>
        </w:rPr>
        <w:t>本省生态环境损害赔偿工作，根据《中华人民共和国民法典》</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中华人民共和国生态环境法典</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及</w:t>
      </w:r>
      <w:r>
        <w:rPr>
          <w:rFonts w:hint="eastAsia" w:ascii="方正仿宋_GBK" w:hAnsi="方正仿宋_GBK" w:eastAsia="方正仿宋_GBK" w:cs="方正仿宋_GBK"/>
          <w:color w:val="auto"/>
          <w:sz w:val="32"/>
          <w:szCs w:val="32"/>
          <w:highlight w:val="none"/>
        </w:rPr>
        <w:t>生态环境保护</w:t>
      </w:r>
      <w:r>
        <w:rPr>
          <w:rFonts w:hint="eastAsia" w:ascii="方正仿宋_GBK" w:hAnsi="方正仿宋_GBK" w:eastAsia="方正仿宋_GBK" w:cs="方正仿宋_GBK"/>
          <w:color w:val="auto"/>
          <w:sz w:val="32"/>
          <w:szCs w:val="32"/>
          <w:highlight w:val="none"/>
          <w:lang w:val="en-US" w:eastAsia="zh-CN"/>
        </w:rPr>
        <w:t>有关</w:t>
      </w:r>
      <w:r>
        <w:rPr>
          <w:rFonts w:hint="eastAsia" w:ascii="方正仿宋_GBK" w:hAnsi="方正仿宋_GBK" w:eastAsia="方正仿宋_GBK" w:cs="方正仿宋_GBK"/>
          <w:color w:val="auto"/>
          <w:sz w:val="32"/>
          <w:szCs w:val="32"/>
          <w:highlight w:val="none"/>
        </w:rPr>
        <w:t>法律法规，结合本省实际</w:t>
      </w:r>
      <w:r>
        <w:rPr>
          <w:rFonts w:hint="eastAsia" w:ascii="方正仿宋_GBK" w:hAnsi="方正仿宋_GBK" w:eastAsia="方正仿宋_GBK" w:cs="方正仿宋_GBK"/>
          <w:color w:val="auto"/>
          <w:sz w:val="32"/>
          <w:szCs w:val="32"/>
          <w:highlight w:val="none"/>
          <w:lang w:val="en-US" w:eastAsia="zh-CN"/>
        </w:rPr>
        <w:t>作出本决定</w:t>
      </w:r>
      <w:r>
        <w:rPr>
          <w:rFonts w:hint="eastAsia" w:ascii="方正仿宋_GBK" w:hAnsi="方正仿宋_GBK" w:eastAsia="方正仿宋_GBK" w:cs="方正仿宋_GBK"/>
          <w:color w:val="auto"/>
          <w:sz w:val="32"/>
          <w:szCs w:val="32"/>
          <w:highlight w:val="none"/>
        </w:rPr>
        <w:t>。</w:t>
      </w:r>
    </w:p>
    <w:p w14:paraId="0AE55BC8">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方正仿宋_GBK" w:hAnsi="方正仿宋_GBK" w:eastAsia="方正仿宋_GBK" w:cs="方正仿宋_GBK"/>
          <w:color w:val="auto"/>
          <w:kern w:val="2"/>
          <w:sz w:val="32"/>
          <w:szCs w:val="32"/>
          <w:highlight w:val="none"/>
          <w:lang w:val="en-US" w:eastAsia="zh-CN" w:bidi="ar-SA"/>
        </w:rPr>
        <w:t>一</w:t>
      </w:r>
      <w:r>
        <w:rPr>
          <w:rFonts w:hint="eastAsia" w:ascii="Times New Roman" w:hAnsi="Times New Roman" w:eastAsia="方正仿宋_GBK" w:cs="Times New Roman"/>
          <w:color w:val="auto"/>
          <w:sz w:val="32"/>
          <w:szCs w:val="32"/>
          <w:highlight w:val="none"/>
          <w:lang w:val="en-US" w:eastAsia="zh-CN"/>
        </w:rPr>
        <w:t>、在本省</w:t>
      </w:r>
      <w:r>
        <w:rPr>
          <w:rFonts w:hint="eastAsia" w:ascii="Times New Roman" w:hAnsi="Times New Roman" w:eastAsia="方正仿宋_GBK" w:cs="Times New Roman"/>
          <w:color w:val="auto"/>
          <w:sz w:val="32"/>
          <w:szCs w:val="32"/>
          <w:highlight w:val="none"/>
        </w:rPr>
        <w:t>行政区域内</w:t>
      </w:r>
      <w:r>
        <w:rPr>
          <w:rFonts w:hint="eastAsia" w:ascii="Times New Roman" w:hAnsi="Times New Roman" w:eastAsia="方正仿宋_GBK" w:cs="Times New Roman"/>
          <w:color w:val="auto"/>
          <w:sz w:val="32"/>
          <w:szCs w:val="32"/>
          <w:highlight w:val="none"/>
          <w:lang w:val="en-US" w:eastAsia="zh-CN"/>
        </w:rPr>
        <w:t>违反法律法规规定，污染环境、破坏生态等给国家、社会公共利益造成损失的，依法开展生态环境</w:t>
      </w:r>
      <w:r>
        <w:rPr>
          <w:rFonts w:hint="eastAsia" w:ascii="Times New Roman" w:hAnsi="Times New Roman" w:eastAsia="方正仿宋_GBK" w:cs="Times New Roman"/>
          <w:color w:val="auto"/>
          <w:sz w:val="32"/>
          <w:szCs w:val="32"/>
          <w:highlight w:val="none"/>
        </w:rPr>
        <w:t>损害</w:t>
      </w:r>
      <w:r>
        <w:rPr>
          <w:rFonts w:hint="eastAsia" w:ascii="Times New Roman" w:hAnsi="Times New Roman" w:eastAsia="方正仿宋_GBK" w:cs="Times New Roman"/>
          <w:color w:val="auto"/>
          <w:sz w:val="32"/>
          <w:szCs w:val="32"/>
          <w:highlight w:val="none"/>
          <w:lang w:val="en-US" w:eastAsia="zh-CN"/>
        </w:rPr>
        <w:t>赔偿工作，适用本决定。</w:t>
      </w:r>
    </w:p>
    <w:p w14:paraId="7444FA4E">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本省管理海域内污染海洋环境、破坏海洋生态给国家造成损失的，由依法行使海洋生态环境监督管理权的部门参照本决定，对责任人提出损害赔偿要求。</w:t>
      </w:r>
    </w:p>
    <w:p w14:paraId="40100AC2">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二、生态环境</w:t>
      </w:r>
      <w:r>
        <w:rPr>
          <w:rFonts w:hint="default" w:ascii="Times New Roman" w:hAnsi="Times New Roman" w:eastAsia="方正仿宋_GBK" w:cs="Times New Roman"/>
          <w:color w:val="auto"/>
          <w:sz w:val="32"/>
          <w:szCs w:val="32"/>
          <w:highlight w:val="none"/>
          <w:lang w:val="en-US" w:eastAsia="zh-CN"/>
        </w:rPr>
        <w:t>损害赔偿工作</w:t>
      </w:r>
      <w:r>
        <w:rPr>
          <w:rFonts w:hint="eastAsia" w:ascii="Times New Roman" w:hAnsi="Times New Roman" w:eastAsia="方正仿宋_GBK" w:cs="Times New Roman"/>
          <w:color w:val="auto"/>
          <w:sz w:val="32"/>
          <w:szCs w:val="32"/>
          <w:highlight w:val="none"/>
          <w:lang w:val="en-US" w:eastAsia="zh-CN"/>
        </w:rPr>
        <w:t>应当</w:t>
      </w:r>
      <w:r>
        <w:rPr>
          <w:rFonts w:hint="default" w:ascii="Times New Roman" w:hAnsi="Times New Roman" w:eastAsia="方正仿宋_GBK" w:cs="Times New Roman"/>
          <w:color w:val="auto"/>
          <w:sz w:val="32"/>
          <w:szCs w:val="32"/>
          <w:highlight w:val="none"/>
          <w:lang w:val="en-US" w:eastAsia="zh-CN"/>
        </w:rPr>
        <w:t>坚持中国共产党的领导，</w:t>
      </w:r>
      <w:r>
        <w:rPr>
          <w:rFonts w:hint="eastAsia" w:ascii="Times New Roman" w:hAnsi="Times New Roman" w:eastAsia="方正仿宋_GBK" w:cs="Times New Roman"/>
          <w:color w:val="auto"/>
          <w:sz w:val="32"/>
          <w:szCs w:val="32"/>
          <w:highlight w:val="none"/>
          <w:lang w:val="en-US" w:eastAsia="zh-CN"/>
        </w:rPr>
        <w:t>贯彻</w:t>
      </w:r>
      <w:r>
        <w:rPr>
          <w:rFonts w:hint="eastAsia" w:ascii="Times New Roman" w:hAnsi="Times New Roman" w:eastAsia="方正仿宋_GBK" w:cs="Times New Roman"/>
          <w:color w:val="auto"/>
          <w:sz w:val="32"/>
          <w:szCs w:val="32"/>
          <w:highlight w:val="none"/>
        </w:rPr>
        <w:t>习</w:t>
      </w:r>
      <w:r>
        <w:rPr>
          <w:rFonts w:hint="eastAsia" w:ascii="Times New Roman" w:hAnsi="Times New Roman" w:eastAsia="方正仿宋_GBK" w:cs="Times New Roman"/>
          <w:color w:val="auto"/>
          <w:sz w:val="32"/>
          <w:szCs w:val="32"/>
          <w:highlight w:val="none"/>
          <w:lang w:val="en-US" w:eastAsia="zh-CN"/>
        </w:rPr>
        <w:t>近平生态文明思想，遵循</w:t>
      </w:r>
      <w:r>
        <w:rPr>
          <w:rFonts w:hint="default" w:ascii="Times New Roman" w:hAnsi="Times New Roman" w:eastAsia="方正仿宋_GBK" w:cs="Times New Roman"/>
          <w:color w:val="auto"/>
          <w:sz w:val="32"/>
          <w:szCs w:val="32"/>
          <w:highlight w:val="none"/>
          <w:lang w:val="en-US" w:eastAsia="zh-CN"/>
        </w:rPr>
        <w:t>依法推进、鼓励创新，环境有价、损害担责，主动磋商、司法保障，信息共享、公众监督的原则。</w:t>
      </w:r>
    </w:p>
    <w:p w14:paraId="357B2884">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三、</w:t>
      </w:r>
      <w:r>
        <w:rPr>
          <w:rFonts w:hint="eastAsia" w:ascii="Times New Roman" w:hAnsi="Times New Roman" w:eastAsia="方正仿宋_GBK" w:cs="Times New Roman"/>
          <w:color w:val="auto"/>
          <w:sz w:val="32"/>
          <w:szCs w:val="32"/>
          <w:highlight w:val="none"/>
        </w:rPr>
        <w:t>省、</w:t>
      </w:r>
      <w:r>
        <w:rPr>
          <w:rFonts w:hint="eastAsia" w:ascii="Times New Roman" w:hAnsi="Times New Roman" w:eastAsia="方正仿宋_GBK" w:cs="Times New Roman"/>
          <w:color w:val="auto"/>
          <w:sz w:val="32"/>
          <w:szCs w:val="32"/>
          <w:highlight w:val="none"/>
          <w:lang w:val="en-US" w:eastAsia="zh-CN"/>
        </w:rPr>
        <w:t>设区的市人民</w:t>
      </w:r>
      <w:r>
        <w:rPr>
          <w:rFonts w:hint="eastAsia" w:ascii="Times New Roman" w:hAnsi="Times New Roman" w:eastAsia="方正仿宋_GBK" w:cs="Times New Roman"/>
          <w:color w:val="auto"/>
          <w:sz w:val="32"/>
          <w:szCs w:val="32"/>
          <w:highlight w:val="none"/>
        </w:rPr>
        <w:t>政府</w:t>
      </w:r>
      <w:r>
        <w:rPr>
          <w:rFonts w:hint="eastAsia" w:ascii="Times New Roman" w:hAnsi="Times New Roman" w:eastAsia="方正仿宋_GBK" w:cs="Times New Roman"/>
          <w:color w:val="auto"/>
          <w:sz w:val="32"/>
          <w:szCs w:val="32"/>
          <w:highlight w:val="none"/>
          <w:lang w:val="en-US" w:eastAsia="zh-CN"/>
        </w:rPr>
        <w:t>作为本</w:t>
      </w:r>
      <w:r>
        <w:rPr>
          <w:rFonts w:hint="eastAsia" w:ascii="Times New Roman" w:hAnsi="Times New Roman" w:eastAsia="方正仿宋_GBK" w:cs="Times New Roman"/>
          <w:color w:val="auto"/>
          <w:sz w:val="32"/>
          <w:szCs w:val="32"/>
          <w:highlight w:val="none"/>
        </w:rPr>
        <w:t>行政区域内生态环境损害赔偿权利人</w:t>
      </w:r>
      <w:r>
        <w:rPr>
          <w:rFonts w:hint="eastAsia" w:ascii="Times New Roman" w:hAnsi="Times New Roman" w:eastAsia="方正仿宋_GBK" w:cs="Times New Roman"/>
          <w:color w:val="auto"/>
          <w:sz w:val="32"/>
          <w:szCs w:val="32"/>
          <w:highlight w:val="none"/>
          <w:lang w:val="en-US" w:eastAsia="zh-CN"/>
        </w:rPr>
        <w:t>（以下称赔偿权利人）</w:t>
      </w:r>
      <w:r>
        <w:rPr>
          <w:rFonts w:hint="eastAsia" w:ascii="Times New Roman" w:hAnsi="Times New Roman" w:eastAsia="方正仿宋_GBK" w:cs="Times New Roman"/>
          <w:color w:val="auto"/>
          <w:sz w:val="32"/>
          <w:szCs w:val="32"/>
          <w:highlight w:val="none"/>
        </w:rPr>
        <w:t>，可以根据有关职责分工，指定有关部门或机构负责生态环境损害赔偿的具体工作。</w:t>
      </w:r>
    </w:p>
    <w:p w14:paraId="3FEDF727">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县（市、区）、乡镇政府、街道办事处、开发区管理委员会可以接受委托，协助上级政府相关部门或机构依法开展生态环境损害赔偿有关工作。</w:t>
      </w:r>
    </w:p>
    <w:p w14:paraId="005AB16D">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四、本省生态环境、自然资源、住房城乡建设（包括城市管理、绿化园林）、交通运输、水行政、农业农村、林业、海事和海警等负有生态环境保护监督管理职责的部门和机构，根据</w:t>
      </w:r>
      <w:r>
        <w:rPr>
          <w:rFonts w:hint="eastAsia" w:ascii="Times New Roman" w:hAnsi="Times New Roman" w:eastAsia="方正仿宋_GBK" w:cs="Times New Roman"/>
          <w:color w:val="auto"/>
          <w:sz w:val="32"/>
          <w:szCs w:val="32"/>
          <w:highlight w:val="none"/>
        </w:rPr>
        <w:t>赔偿权利人</w:t>
      </w:r>
      <w:r>
        <w:rPr>
          <w:rFonts w:hint="eastAsia" w:ascii="Times New Roman" w:hAnsi="Times New Roman" w:eastAsia="方正仿宋_GBK" w:cs="Times New Roman"/>
          <w:color w:val="auto"/>
          <w:sz w:val="32"/>
          <w:szCs w:val="32"/>
          <w:highlight w:val="none"/>
          <w:lang w:val="en-US" w:eastAsia="zh-CN"/>
        </w:rPr>
        <w:t>指定负责各自职责范围内的生态环境损害赔偿具体工作，赔偿权利人也可以根据本地区的实际情况另行指定相关部门或机构负责具体工作，以上统称为赔偿权利人指定的部门或机构。</w:t>
      </w:r>
    </w:p>
    <w:p w14:paraId="5873B649">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生态环境部门应当在本级人民政府的统一领导下，发挥牵头作用，指导、协助、督促下级人民政府及其有关部门、机构做好生态环境损害赔偿工作，统筹推进本区域生态环境损害赔偿工作。</w:t>
      </w:r>
    </w:p>
    <w:p w14:paraId="26BDAAE5">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司法行政部门负责生态环境损害赔偿诉讼及相关法制保障工作。</w:t>
      </w:r>
    </w:p>
    <w:p w14:paraId="18E5096D">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各有关部门和机构应当加强协同联动，建立会商交流、线索移送、信息共享、联合办理等工作机制，对污染环境、破坏生态等违法行为依法追究生态环境损害赔偿责任。</w:t>
      </w:r>
    </w:p>
    <w:p w14:paraId="0255E3F2">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五、生态环境损害赔偿工作应当包括线索筛查、损害</w:t>
      </w:r>
      <w:r>
        <w:rPr>
          <w:rFonts w:hint="eastAsia" w:ascii="Times New Roman" w:hAnsi="Times New Roman" w:eastAsia="方正仿宋_GBK" w:cs="Times New Roman"/>
          <w:color w:val="auto"/>
          <w:sz w:val="32"/>
          <w:szCs w:val="32"/>
          <w:highlight w:val="none"/>
        </w:rPr>
        <w:t>调查、</w:t>
      </w:r>
      <w:r>
        <w:rPr>
          <w:rFonts w:hint="eastAsia" w:ascii="Times New Roman" w:hAnsi="Times New Roman" w:eastAsia="方正仿宋_GBK" w:cs="Times New Roman"/>
          <w:color w:val="auto"/>
          <w:sz w:val="32"/>
          <w:szCs w:val="32"/>
          <w:highlight w:val="none"/>
          <w:lang w:val="en-US" w:eastAsia="zh-CN"/>
        </w:rPr>
        <w:t>鉴定</w:t>
      </w:r>
      <w:r>
        <w:rPr>
          <w:rFonts w:hint="eastAsia" w:ascii="Times New Roman" w:hAnsi="Times New Roman" w:eastAsia="方正仿宋_GBK" w:cs="Times New Roman"/>
          <w:color w:val="auto"/>
          <w:sz w:val="32"/>
          <w:szCs w:val="32"/>
          <w:highlight w:val="none"/>
        </w:rPr>
        <w:t>评估、</w:t>
      </w:r>
      <w:r>
        <w:rPr>
          <w:rFonts w:hint="eastAsia" w:ascii="Times New Roman" w:hAnsi="Times New Roman" w:eastAsia="方正仿宋_GBK" w:cs="Times New Roman"/>
          <w:color w:val="auto"/>
          <w:sz w:val="32"/>
          <w:szCs w:val="32"/>
          <w:highlight w:val="none"/>
          <w:lang w:val="en-US" w:eastAsia="zh-CN"/>
        </w:rPr>
        <w:t>赔偿</w:t>
      </w:r>
      <w:r>
        <w:rPr>
          <w:rFonts w:hint="eastAsia" w:ascii="Times New Roman" w:hAnsi="Times New Roman" w:eastAsia="方正仿宋_GBK" w:cs="Times New Roman"/>
          <w:color w:val="auto"/>
          <w:sz w:val="32"/>
          <w:szCs w:val="32"/>
          <w:highlight w:val="none"/>
        </w:rPr>
        <w:t>磋商</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修复监督和效果评估等内容，兼顾规范、高效、惠民。</w:t>
      </w:r>
    </w:p>
    <w:p w14:paraId="6EF361D7">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六、赔偿权利人指定的部门</w:t>
      </w:r>
      <w:r>
        <w:rPr>
          <w:rFonts w:hint="eastAsia" w:ascii="Times New Roman" w:hAnsi="Times New Roman" w:eastAsia="方正仿宋_GBK" w:cs="Times New Roman"/>
          <w:color w:val="auto"/>
          <w:sz w:val="32"/>
          <w:szCs w:val="32"/>
          <w:highlight w:val="none"/>
          <w:lang w:val="en-US" w:eastAsia="zh-CN"/>
        </w:rPr>
        <w:t>或机构</w:t>
      </w:r>
      <w:r>
        <w:rPr>
          <w:rFonts w:hint="eastAsia" w:ascii="Times New Roman" w:hAnsi="Times New Roman" w:eastAsia="方正仿宋_GBK" w:cs="Times New Roman"/>
          <w:color w:val="auto"/>
          <w:sz w:val="32"/>
          <w:szCs w:val="32"/>
          <w:highlight w:val="none"/>
          <w:lang w:val="en-US" w:eastAsia="zh-CN"/>
        </w:rPr>
        <w:t>应当全面、充分开展线索筛查。发现违反法律法规规定，污染环境、破坏生态等给国家造成损失的，应当及时启动索赔，开展调查。</w:t>
      </w:r>
    </w:p>
    <w:p w14:paraId="60B1FE00">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（一）违反国家规定向大气、水体、土壤等环境要素排放、倾倒、堆放或者处置污染物、有毒有害物质、固体废物或者其他物质的；</w:t>
      </w:r>
    </w:p>
    <w:p w14:paraId="4B45E61C">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（二）盗伐、滥伐林木，非法收购、运输盗伐、滥伐的林木，非法采伐、毁坏珍贵树木或者国家重点保护的其他植物，放火，失火及其他破坏森林资源的；</w:t>
      </w:r>
    </w:p>
    <w:p w14:paraId="4FC99796">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（三）</w:t>
      </w:r>
      <w:r>
        <w:rPr>
          <w:rFonts w:hint="eastAsia" w:ascii="Times New Roman" w:hAnsi="Times New Roman" w:eastAsia="方正仿宋_GBK" w:cs="Times New Roman"/>
          <w:color w:val="auto"/>
          <w:sz w:val="32"/>
          <w:szCs w:val="32"/>
          <w:highlight w:val="none"/>
        </w:rPr>
        <w:t>在开放水域投放</w:t>
      </w:r>
      <w:r>
        <w:rPr>
          <w:rFonts w:hint="eastAsia" w:ascii="Times New Roman" w:hAnsi="Times New Roman" w:eastAsia="方正仿宋_GBK" w:cs="Times New Roman"/>
          <w:color w:val="auto"/>
          <w:sz w:val="32"/>
          <w:szCs w:val="32"/>
          <w:highlight w:val="none"/>
          <w:lang w:val="en-US" w:eastAsia="zh-CN"/>
        </w:rPr>
        <w:t>不符合生态要求的水生外来种、杂交种等水生生物，或者在开放水域养殖外来物种未采取防护措施造成物种逃逸扩散</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严重</w:t>
      </w:r>
      <w:r>
        <w:rPr>
          <w:rFonts w:hint="eastAsia" w:ascii="Times New Roman" w:hAnsi="Times New Roman" w:eastAsia="方正仿宋_GBK" w:cs="Times New Roman"/>
          <w:color w:val="auto"/>
          <w:sz w:val="32"/>
          <w:szCs w:val="32"/>
          <w:highlight w:val="none"/>
        </w:rPr>
        <w:t>破坏水产资源的</w:t>
      </w:r>
      <w:r>
        <w:rPr>
          <w:rFonts w:hint="eastAsia" w:ascii="Times New Roman" w:hAnsi="Times New Roman" w:eastAsia="方正仿宋_GBK" w:cs="Times New Roman"/>
          <w:color w:val="auto"/>
          <w:sz w:val="32"/>
          <w:szCs w:val="32"/>
          <w:highlight w:val="none"/>
          <w:lang w:val="en-US" w:eastAsia="zh-CN"/>
        </w:rPr>
        <w:t>；</w:t>
      </w:r>
    </w:p>
    <w:p w14:paraId="4FB3E4D9">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（四）非法狩猎，非法猎捕、杀害国家重点保护的珍贵、濒危野生动物以及其他破坏野生动物资源的；</w:t>
      </w:r>
    </w:p>
    <w:p w14:paraId="70D15288">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（五）非法采矿，或者采取破坏性的开采方法采矿，破坏矿产资源的；</w:t>
      </w:r>
    </w:p>
    <w:p w14:paraId="6BB8C3D4">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（六）非法占用耕地、林地、草地等农用地，改变被占用土地用途，造成农用地毁坏或者土地生态功能损害的；</w:t>
      </w:r>
    </w:p>
    <w:p w14:paraId="5089ACB4">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（七）违法开采、破坏和污染地下水等损害地下水资源的；</w:t>
      </w:r>
    </w:p>
    <w:p w14:paraId="5A2BF019">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（八）非法采砂，造成河道生态环境破坏和河流生物资源损失的；</w:t>
      </w:r>
    </w:p>
    <w:p w14:paraId="6CE995B0">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（九）违反国家规定造成湿地生态环境损害、生物多样性损害和城市绿化损失的；</w:t>
      </w:r>
    </w:p>
    <w:p w14:paraId="0B5F9A00">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（十）污染海洋环境、破坏海洋生态，造成损失的；</w:t>
      </w:r>
    </w:p>
    <w:p w14:paraId="00A10231">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（十一）违反法律规定造成其他生态环境损害的。</w:t>
      </w:r>
    </w:p>
    <w:p w14:paraId="084E9E3C">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七、赔偿权利人指定的部门或机构应当建立健全</w:t>
      </w:r>
      <w:r>
        <w:rPr>
          <w:rFonts w:hint="eastAsia" w:ascii="Times New Roman" w:hAnsi="Times New Roman" w:eastAsia="方正仿宋_GBK" w:cs="Times New Roman"/>
          <w:color w:val="auto"/>
          <w:sz w:val="32"/>
          <w:szCs w:val="32"/>
          <w:highlight w:val="none"/>
        </w:rPr>
        <w:t>生态环境保护督察、行政执法、突发生态环境事件、突出问题专项整治、信访投诉等</w:t>
      </w:r>
      <w:r>
        <w:rPr>
          <w:rFonts w:hint="eastAsia" w:ascii="Times New Roman" w:hAnsi="Times New Roman" w:eastAsia="方正仿宋_GBK" w:cs="Times New Roman"/>
          <w:color w:val="auto"/>
          <w:sz w:val="32"/>
          <w:szCs w:val="32"/>
          <w:highlight w:val="none"/>
          <w:lang w:val="en-US" w:eastAsia="zh-CN"/>
        </w:rPr>
        <w:t>与生态环境损害赔偿的衔接机制。</w:t>
      </w:r>
    </w:p>
    <w:p w14:paraId="60524F57">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在</w:t>
      </w:r>
      <w:r>
        <w:rPr>
          <w:rFonts w:hint="eastAsia" w:ascii="Times New Roman" w:hAnsi="Times New Roman" w:eastAsia="方正仿宋_GBK" w:cs="Times New Roman"/>
          <w:color w:val="auto"/>
          <w:sz w:val="32"/>
          <w:szCs w:val="32"/>
          <w:highlight w:val="none"/>
          <w:lang w:val="en-US" w:eastAsia="zh-CN"/>
        </w:rPr>
        <w:t>行政</w:t>
      </w:r>
      <w:r>
        <w:rPr>
          <w:rFonts w:hint="default" w:ascii="Times New Roman" w:hAnsi="Times New Roman" w:eastAsia="方正仿宋_GBK" w:cs="Times New Roman"/>
          <w:color w:val="auto"/>
          <w:sz w:val="32"/>
          <w:szCs w:val="32"/>
          <w:highlight w:val="none"/>
          <w:lang w:val="en-US" w:eastAsia="zh-CN"/>
        </w:rPr>
        <w:t>执法过程中，应当向违法行为人说明生态环境损害赔偿的相关规定，鼓励、引导其主动进行生态环境损害修复和赔偿。</w:t>
      </w:r>
      <w:r>
        <w:rPr>
          <w:rFonts w:hint="eastAsia" w:ascii="Times New Roman" w:hAnsi="Times New Roman" w:eastAsia="方正仿宋_GBK" w:cs="Times New Roman"/>
          <w:color w:val="auto"/>
          <w:sz w:val="32"/>
          <w:szCs w:val="32"/>
          <w:highlight w:val="none"/>
          <w:lang w:val="en-US" w:eastAsia="zh-CN"/>
        </w:rPr>
        <w:t>通过行政执法、诉讼以及其他途径，或者赔偿义务人采用生态修复、恢复原状、认购碳汇等履责方式，已经实现生态环境损害修复和赔偿的，可以不启动索赔。</w:t>
      </w:r>
    </w:p>
    <w:p w14:paraId="4B5A8034">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在</w:t>
      </w:r>
      <w:r>
        <w:rPr>
          <w:rFonts w:hint="eastAsia" w:ascii="Times New Roman" w:hAnsi="Times New Roman" w:eastAsia="方正仿宋_GBK" w:cs="Times New Roman"/>
          <w:color w:val="auto"/>
          <w:sz w:val="32"/>
          <w:szCs w:val="32"/>
          <w:highlight w:val="none"/>
        </w:rPr>
        <w:t>行政执法立案、执法调查、案件法制审核、作出执法决定等具体工作环节</w:t>
      </w:r>
      <w:r>
        <w:rPr>
          <w:rFonts w:hint="eastAsia" w:ascii="Times New Roman" w:hAnsi="Times New Roman" w:eastAsia="方正仿宋_GBK" w:cs="Times New Roman"/>
          <w:color w:val="auto"/>
          <w:sz w:val="32"/>
          <w:szCs w:val="32"/>
          <w:highlight w:val="none"/>
          <w:lang w:val="en-US" w:eastAsia="zh-CN"/>
        </w:rPr>
        <w:t>应当充分考虑</w:t>
      </w:r>
      <w:r>
        <w:rPr>
          <w:rFonts w:hint="eastAsia" w:ascii="Times New Roman" w:hAnsi="Times New Roman" w:eastAsia="方正仿宋_GBK" w:cs="Times New Roman"/>
          <w:color w:val="auto"/>
          <w:sz w:val="32"/>
          <w:szCs w:val="32"/>
          <w:highlight w:val="none"/>
        </w:rPr>
        <w:t>生态环境损害赔偿的线索筛查、调查、赔偿责任履行情况</w:t>
      </w:r>
      <w:r>
        <w:rPr>
          <w:rFonts w:hint="eastAsia" w:ascii="Times New Roman" w:hAnsi="Times New Roman" w:eastAsia="方正仿宋_GBK" w:cs="Times New Roman"/>
          <w:color w:val="auto"/>
          <w:sz w:val="32"/>
          <w:szCs w:val="32"/>
          <w:highlight w:val="none"/>
          <w:lang w:eastAsia="zh-CN"/>
        </w:rPr>
        <w:t>。有恶意损害生态环境、造成严重危害后果等法定情形的，依法从重处罚，</w:t>
      </w:r>
      <w:r>
        <w:rPr>
          <w:rFonts w:hint="eastAsia" w:ascii="Times New Roman" w:hAnsi="Times New Roman" w:eastAsia="方正仿宋_GBK" w:cs="Times New Roman"/>
          <w:color w:val="auto"/>
          <w:sz w:val="32"/>
          <w:szCs w:val="32"/>
          <w:highlight w:val="none"/>
          <w:lang w:val="en-US" w:eastAsia="zh-CN"/>
        </w:rPr>
        <w:t>并</w:t>
      </w:r>
      <w:r>
        <w:rPr>
          <w:rFonts w:hint="eastAsia" w:ascii="Times New Roman" w:hAnsi="Times New Roman" w:eastAsia="方正仿宋_GBK" w:cs="Times New Roman"/>
          <w:color w:val="auto"/>
          <w:sz w:val="32"/>
          <w:szCs w:val="32"/>
          <w:highlight w:val="none"/>
          <w:lang w:eastAsia="zh-CN"/>
        </w:rPr>
        <w:t>有权请求相应的惩罚性赔偿。有主动消除或者减轻危害后果、有效采取生态环境修复措施、及时缴纳赔偿金等法定情形的，依法从轻或者减轻处罚</w:t>
      </w:r>
      <w:r>
        <w:rPr>
          <w:rFonts w:hint="eastAsia" w:ascii="Times New Roman" w:hAnsi="Times New Roman" w:eastAsia="方正仿宋_GBK" w:cs="Times New Roman"/>
          <w:color w:val="auto"/>
          <w:sz w:val="32"/>
          <w:szCs w:val="32"/>
          <w:highlight w:val="none"/>
          <w:lang w:val="en-US" w:eastAsia="zh-CN"/>
        </w:rPr>
        <w:t>；符合条件的，依法可以不予处罚</w:t>
      </w:r>
      <w:r>
        <w:rPr>
          <w:rFonts w:hint="eastAsia" w:ascii="Times New Roman" w:hAnsi="Times New Roman" w:eastAsia="方正仿宋_GBK" w:cs="Times New Roman"/>
          <w:color w:val="auto"/>
          <w:sz w:val="32"/>
          <w:szCs w:val="32"/>
          <w:highlight w:val="none"/>
          <w:lang w:eastAsia="zh-CN"/>
        </w:rPr>
        <w:t>。</w:t>
      </w:r>
    </w:p>
    <w:p w14:paraId="7689A618">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八、赔偿权利人指定的部门或机构应当按照国家和省有关规定，</w:t>
      </w:r>
      <w:r>
        <w:rPr>
          <w:rFonts w:hint="eastAsia" w:ascii="Times New Roman" w:hAnsi="Times New Roman" w:eastAsia="方正仿宋_GBK" w:cs="Times New Roman"/>
          <w:color w:val="auto"/>
          <w:sz w:val="32"/>
          <w:szCs w:val="32"/>
          <w:highlight w:val="none"/>
        </w:rPr>
        <w:t>综合考虑</w:t>
      </w:r>
      <w:r>
        <w:rPr>
          <w:rFonts w:hint="eastAsia" w:ascii="Times New Roman" w:hAnsi="Times New Roman" w:eastAsia="方正仿宋_GBK" w:cs="Times New Roman"/>
          <w:color w:val="auto"/>
          <w:sz w:val="32"/>
          <w:szCs w:val="32"/>
          <w:highlight w:val="none"/>
          <w:lang w:eastAsia="zh-CN"/>
        </w:rPr>
        <w:t>污染环境、破坏生态等违法行为</w:t>
      </w:r>
      <w:r>
        <w:rPr>
          <w:rFonts w:hint="eastAsia" w:ascii="Times New Roman" w:hAnsi="Times New Roman" w:eastAsia="方正仿宋_GBK" w:cs="Times New Roman"/>
          <w:color w:val="auto"/>
          <w:sz w:val="32"/>
          <w:szCs w:val="32"/>
          <w:highlight w:val="none"/>
        </w:rPr>
        <w:t>造成的环境污染、生态破坏程度以及社会影响等因素，</w:t>
      </w:r>
      <w:r>
        <w:rPr>
          <w:rFonts w:hint="eastAsia" w:ascii="Times New Roman" w:hAnsi="Times New Roman" w:eastAsia="方正仿宋_GBK" w:cs="Times New Roman"/>
          <w:color w:val="auto"/>
          <w:sz w:val="32"/>
          <w:szCs w:val="32"/>
          <w:highlight w:val="none"/>
          <w:lang w:val="en-US" w:eastAsia="zh-CN"/>
        </w:rPr>
        <w:t>建立健全生态环境损害赔偿重大、简单案件分类办理机制</w:t>
      </w:r>
      <w:r>
        <w:rPr>
          <w:rFonts w:hint="eastAsia" w:ascii="Times New Roman" w:hAnsi="Times New Roman" w:eastAsia="方正仿宋_GBK" w:cs="Times New Roman"/>
          <w:color w:val="auto"/>
          <w:sz w:val="32"/>
          <w:szCs w:val="32"/>
          <w:highlight w:val="none"/>
        </w:rPr>
        <w:t>。</w:t>
      </w:r>
    </w:p>
    <w:p w14:paraId="6C2D9E54">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污染环境、破坏生态等违法行为造成的生态环境损害显著轻微</w:t>
      </w:r>
      <w:r>
        <w:rPr>
          <w:rFonts w:hint="eastAsia" w:ascii="Times New Roman" w:hAnsi="Times New Roman" w:eastAsia="方正仿宋_GBK" w:cs="Times New Roman"/>
          <w:color w:val="auto"/>
          <w:sz w:val="32"/>
          <w:szCs w:val="32"/>
          <w:highlight w:val="none"/>
          <w:lang w:val="en-US" w:eastAsia="zh-CN"/>
        </w:rPr>
        <w:t>的，可以</w:t>
      </w:r>
      <w:r>
        <w:rPr>
          <w:rFonts w:hint="eastAsia" w:ascii="Times New Roman" w:hAnsi="Times New Roman" w:eastAsia="方正仿宋_GBK" w:cs="Times New Roman"/>
          <w:color w:val="auto"/>
          <w:sz w:val="32"/>
          <w:szCs w:val="32"/>
          <w:highlight w:val="none"/>
          <w:lang w:eastAsia="zh-CN"/>
        </w:rPr>
        <w:t>不启动索赔。以下情形除外：</w:t>
      </w:r>
    </w:p>
    <w:p w14:paraId="2D1FF022">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（一）损害区域为生态保护红线、自然保护地内的案件；</w:t>
      </w:r>
    </w:p>
    <w:p w14:paraId="3D4C0651">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（二）赔偿义务人曾因违法行为造成生态环境损害，2年内再次发生的；</w:t>
      </w:r>
    </w:p>
    <w:p w14:paraId="289B3395">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（三）有证据证明赔偿义务人有主观过错的；</w:t>
      </w:r>
    </w:p>
    <w:p w14:paraId="3B18D05A">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eastAsia="zh-CN"/>
        </w:rPr>
        <w:t>（四）省级</w:t>
      </w:r>
      <w:r>
        <w:rPr>
          <w:rFonts w:hint="eastAsia" w:ascii="Times New Roman" w:hAnsi="Times New Roman" w:eastAsia="方正仿宋_GBK" w:cs="Times New Roman"/>
          <w:color w:val="auto"/>
          <w:sz w:val="32"/>
          <w:szCs w:val="32"/>
          <w:highlight w:val="none"/>
          <w:lang w:val="en-US" w:eastAsia="zh-CN"/>
        </w:rPr>
        <w:t>赔偿权利人指定的</w:t>
      </w:r>
      <w:r>
        <w:rPr>
          <w:rFonts w:hint="eastAsia" w:ascii="Times New Roman" w:hAnsi="Times New Roman" w:eastAsia="方正仿宋_GBK" w:cs="Times New Roman"/>
          <w:color w:val="auto"/>
          <w:sz w:val="32"/>
          <w:szCs w:val="32"/>
          <w:highlight w:val="none"/>
          <w:lang w:eastAsia="zh-CN"/>
        </w:rPr>
        <w:t>部门</w:t>
      </w:r>
      <w:r>
        <w:rPr>
          <w:rFonts w:hint="eastAsia" w:ascii="Times New Roman" w:hAnsi="Times New Roman" w:eastAsia="方正仿宋_GBK" w:cs="Times New Roman"/>
          <w:color w:val="auto"/>
          <w:sz w:val="32"/>
          <w:szCs w:val="32"/>
          <w:highlight w:val="none"/>
          <w:lang w:eastAsia="zh-CN"/>
        </w:rPr>
        <w:t>或机构</w:t>
      </w:r>
      <w:r>
        <w:rPr>
          <w:rFonts w:hint="eastAsia" w:ascii="Times New Roman" w:hAnsi="Times New Roman" w:eastAsia="方正仿宋_GBK" w:cs="Times New Roman"/>
          <w:color w:val="auto"/>
          <w:sz w:val="32"/>
          <w:szCs w:val="32"/>
          <w:highlight w:val="none"/>
          <w:lang w:eastAsia="zh-CN"/>
        </w:rPr>
        <w:t>认为应当启动索赔的其他情形。</w:t>
      </w:r>
    </w:p>
    <w:p w14:paraId="5B509A96">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九、省级负有生态环境保护监督管理职责的部门和机构，应当建立重大案件报告和督办机制，加强对严重环境污染和重大生态破坏案件办理的指导</w:t>
      </w:r>
      <w:r>
        <w:rPr>
          <w:rFonts w:hint="eastAsia" w:ascii="Times New Roman" w:hAnsi="Times New Roman" w:eastAsia="方正仿宋_GBK" w:cs="Times New Roman"/>
          <w:color w:val="auto"/>
          <w:sz w:val="32"/>
          <w:szCs w:val="32"/>
          <w:highlight w:val="none"/>
        </w:rPr>
        <w:t>和帮扶</w:t>
      </w:r>
      <w:r>
        <w:rPr>
          <w:rFonts w:hint="eastAsia"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rPr>
        <w:t>对损害事实认定存疑、办案程序不规范、超期办理等事项及时提醒，帮助指导解决办案疑难问题</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直至完成督办任务</w:t>
      </w:r>
      <w:r>
        <w:rPr>
          <w:rFonts w:hint="eastAsia" w:ascii="Times New Roman" w:hAnsi="Times New Roman" w:eastAsia="方正仿宋_GBK" w:cs="Times New Roman"/>
          <w:color w:val="auto"/>
          <w:sz w:val="32"/>
          <w:szCs w:val="32"/>
          <w:highlight w:val="none"/>
        </w:rPr>
        <w:t>。</w:t>
      </w:r>
    </w:p>
    <w:p w14:paraId="74CAFBC9">
      <w:pPr>
        <w:pStyle w:val="8"/>
        <w:keepNext w:val="0"/>
        <w:keepLines w:val="0"/>
        <w:pageBreakBefore w:val="0"/>
        <w:widowControl/>
        <w:numPr>
          <w:ilvl w:val="0"/>
          <w:numId w:val="0"/>
        </w:numPr>
        <w:kinsoku/>
        <w:wordWrap/>
        <w:overflowPunct/>
        <w:topLinePunct w:val="0"/>
        <w:bidi w:val="0"/>
        <w:snapToGrid/>
        <w:spacing w:line="580" w:lineRule="exact"/>
        <w:ind w:left="0" w:leftChars="0" w:firstLine="640" w:firstLineChars="200"/>
        <w:jc w:val="both"/>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涉及刑事侦查的重大案件，由</w:t>
      </w:r>
      <w:r>
        <w:rPr>
          <w:rFonts w:hint="eastAsia" w:ascii="方正仿宋_GBK" w:hAnsi="方正仿宋_GBK" w:eastAsia="方正仿宋_GBK" w:cs="方正仿宋_GBK"/>
          <w:color w:val="auto"/>
          <w:sz w:val="32"/>
          <w:szCs w:val="32"/>
          <w:highlight w:val="none"/>
          <w:lang w:val="en-US" w:eastAsia="zh-CN" w:bidi="ar-SA"/>
        </w:rPr>
        <w:t>赔偿权利人指定的部门或机构</w:t>
      </w:r>
      <w:r>
        <w:rPr>
          <w:rFonts w:hint="eastAsia" w:ascii="方正仿宋_GBK" w:hAnsi="方正仿宋_GBK" w:eastAsia="方正仿宋_GBK" w:cs="方正仿宋_GBK"/>
          <w:color w:val="auto"/>
          <w:sz w:val="32"/>
          <w:szCs w:val="32"/>
          <w:highlight w:val="none"/>
          <w:lang w:val="en-US" w:eastAsia="zh-CN"/>
        </w:rPr>
        <w:t>、公安机关共同会商决定刑事侦查和生态环境损害赔偿工作联动安排。</w:t>
      </w:r>
    </w:p>
    <w:p w14:paraId="6CDB2D9F">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2"/>
          <w:sz w:val="32"/>
          <w:szCs w:val="32"/>
          <w:highlight w:val="none"/>
          <w:lang w:val="en-US" w:eastAsia="zh-CN" w:bidi="ar-SA"/>
        </w:rPr>
        <w:t>十、</w:t>
      </w:r>
      <w:r>
        <w:rPr>
          <w:rFonts w:hint="eastAsia" w:ascii="方正仿宋_GBK" w:hAnsi="方正仿宋_GBK" w:eastAsia="方正仿宋_GBK" w:cs="方正仿宋_GBK"/>
          <w:color w:val="auto"/>
          <w:sz w:val="32"/>
          <w:szCs w:val="32"/>
          <w:highlight w:val="none"/>
          <w:lang w:val="en-US" w:eastAsia="zh-CN"/>
        </w:rPr>
        <w:t>在征得赔偿义务人同意后，赔偿权利人指定的部门</w:t>
      </w:r>
      <w:r>
        <w:rPr>
          <w:rFonts w:hint="eastAsia" w:ascii="方正仿宋_GBK" w:hAnsi="方正仿宋_GBK" w:eastAsia="方正仿宋_GBK" w:cs="方正仿宋_GBK"/>
          <w:color w:val="auto"/>
          <w:sz w:val="32"/>
          <w:szCs w:val="32"/>
          <w:highlight w:val="none"/>
          <w:lang w:val="en-US" w:eastAsia="zh-CN"/>
        </w:rPr>
        <w:t>或机构</w:t>
      </w:r>
      <w:r>
        <w:rPr>
          <w:rFonts w:hint="eastAsia" w:ascii="方正仿宋_GBK" w:hAnsi="方正仿宋_GBK" w:eastAsia="方正仿宋_GBK" w:cs="方正仿宋_GBK"/>
          <w:color w:val="auto"/>
          <w:sz w:val="32"/>
          <w:szCs w:val="32"/>
          <w:highlight w:val="none"/>
          <w:lang w:val="en-US" w:eastAsia="zh-CN"/>
        </w:rPr>
        <w:t>办理简单案件可以适用简易评估认定、简易磋商和简易修复效果评估程序。</w:t>
      </w:r>
    </w:p>
    <w:p w14:paraId="3372577C">
      <w:pPr>
        <w:keepNext w:val="0"/>
        <w:keepLines w:val="0"/>
        <w:pageBreakBefore w:val="0"/>
        <w:widowControl/>
        <w:suppressLineNumbers w:val="0"/>
        <w:kinsoku/>
        <w:wordWrap/>
        <w:overflowPunct/>
        <w:topLinePunct w:val="0"/>
        <w:bidi w:val="0"/>
        <w:snapToGrid/>
        <w:spacing w:line="58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简易评估认定程序可以由赔偿权利人指定的部门</w:t>
      </w:r>
      <w:r>
        <w:rPr>
          <w:rFonts w:hint="eastAsia" w:ascii="方正仿宋_GBK" w:hAnsi="方正仿宋_GBK" w:eastAsia="方正仿宋_GBK" w:cs="方正仿宋_GBK"/>
          <w:color w:val="auto"/>
          <w:sz w:val="32"/>
          <w:szCs w:val="32"/>
          <w:highlight w:val="none"/>
          <w:lang w:val="en-US" w:eastAsia="zh-CN"/>
        </w:rPr>
        <w:t>或机构</w:t>
      </w:r>
      <w:r>
        <w:rPr>
          <w:rFonts w:hint="eastAsia" w:ascii="方正仿宋_GBK" w:hAnsi="方正仿宋_GBK" w:eastAsia="方正仿宋_GBK" w:cs="方正仿宋_GBK"/>
          <w:color w:val="auto"/>
          <w:sz w:val="32"/>
          <w:szCs w:val="32"/>
          <w:highlight w:val="none"/>
          <w:lang w:val="en-US" w:eastAsia="zh-CN"/>
        </w:rPr>
        <w:t>委托专家按照相关技术规范出具专家意见；</w:t>
      </w:r>
      <w:r>
        <w:rPr>
          <w:rFonts w:hint="eastAsia" w:ascii="方正仿宋_GBK" w:hAnsi="方正仿宋_GBK" w:eastAsia="方正仿宋_GBK" w:cs="方正仿宋_GBK"/>
          <w:color w:val="auto"/>
          <w:sz w:val="32"/>
          <w:szCs w:val="32"/>
          <w:highlight w:val="none"/>
          <w:lang w:val="en-US" w:eastAsia="zh-CN"/>
        </w:rPr>
        <w:t>或者根据与案件相关的法律文书、监测报告等资料作出综合认定结论。鼓励通过类案参考、电子化评估、典型案例评析等方式统一综合认定尺度。</w:t>
      </w:r>
    </w:p>
    <w:p w14:paraId="419BDB83">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经初步调查发现生态环境损害调查、鉴定评估等费用明显高于其他损失和费用的，赔偿权利人指定的部门或机构应当及时提醒赔偿义务人适用简易评估认定程序。</w:t>
      </w:r>
      <w:r>
        <w:rPr>
          <w:rFonts w:ascii="Times New Roman" w:hAnsi="Times New Roman" w:eastAsia="方正仿宋_GBK" w:cs="Times New Roman"/>
          <w:color w:val="auto"/>
          <w:sz w:val="32"/>
          <w:szCs w:val="32"/>
          <w:highlight w:val="none"/>
        </w:rPr>
        <w:t>完成简易评估认定后应当及时启动简易磋商程序</w:t>
      </w:r>
      <w:r>
        <w:rPr>
          <w:rFonts w:hint="eastAsia" w:ascii="Times New Roman" w:hAnsi="Times New Roman" w:eastAsia="方正仿宋_GBK" w:cs="Times New Roman"/>
          <w:color w:val="auto"/>
          <w:sz w:val="32"/>
          <w:szCs w:val="32"/>
          <w:highlight w:val="none"/>
          <w:lang w:eastAsia="zh-CN"/>
        </w:rPr>
        <w:t>，</w:t>
      </w:r>
      <w:r>
        <w:rPr>
          <w:rFonts w:ascii="Times New Roman" w:hAnsi="Times New Roman" w:eastAsia="方正仿宋_GBK" w:cs="Times New Roman"/>
          <w:color w:val="auto"/>
          <w:sz w:val="32"/>
          <w:szCs w:val="32"/>
          <w:highlight w:val="none"/>
        </w:rPr>
        <w:t>书面征求赔偿义务人意见</w:t>
      </w:r>
      <w:r>
        <w:rPr>
          <w:rFonts w:hint="eastAsia" w:ascii="Times New Roman" w:hAnsi="Times New Roman" w:eastAsia="方正仿宋_GBK" w:cs="Times New Roman"/>
          <w:color w:val="auto"/>
          <w:sz w:val="32"/>
          <w:szCs w:val="32"/>
          <w:highlight w:val="none"/>
          <w:lang w:eastAsia="zh-CN"/>
        </w:rPr>
        <w:t>，</w:t>
      </w:r>
      <w:r>
        <w:rPr>
          <w:rFonts w:ascii="Times New Roman" w:hAnsi="Times New Roman" w:eastAsia="方正仿宋_GBK" w:cs="Times New Roman"/>
          <w:color w:val="auto"/>
          <w:sz w:val="32"/>
          <w:szCs w:val="32"/>
          <w:highlight w:val="none"/>
        </w:rPr>
        <w:t>双方达成一致意见后签署赔偿协议。</w:t>
      </w:r>
    </w:p>
    <w:p w14:paraId="57871352">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十一、</w:t>
      </w:r>
      <w:r>
        <w:rPr>
          <w:rFonts w:hint="eastAsia" w:ascii="方正仿宋_GBK" w:hAnsi="方正仿宋_GBK" w:eastAsia="方正仿宋_GBK" w:cs="方正仿宋_GBK"/>
          <w:color w:val="auto"/>
          <w:sz w:val="32"/>
          <w:szCs w:val="32"/>
          <w:highlight w:val="none"/>
        </w:rPr>
        <w:t>生态环境损害可以修复的，</w:t>
      </w:r>
      <w:r>
        <w:rPr>
          <w:rFonts w:hint="eastAsia" w:ascii="方正仿宋_GBK" w:hAnsi="方正仿宋_GBK" w:eastAsia="方正仿宋_GBK" w:cs="方正仿宋_GBK"/>
          <w:color w:val="auto"/>
          <w:kern w:val="2"/>
          <w:sz w:val="32"/>
          <w:szCs w:val="32"/>
          <w:highlight w:val="none"/>
          <w:lang w:val="en-US" w:eastAsia="zh-CN" w:bidi="ar-SA"/>
        </w:rPr>
        <w:t>赔偿义务人可以自行修复或委托具备修复能力的社会第三方机构修复受损生态环境。生态环境损害发生后，鼓励依法依规先行采取收集、导流、拦截、降污等措施，控制和缓解损害的二次发生和扩大。磋商未达成一致前，赔偿义务人主动要求对可以修复的损害开展修复的，在书面确认损害事实后，经</w:t>
      </w:r>
      <w:r>
        <w:rPr>
          <w:rFonts w:hint="eastAsia" w:ascii="方正仿宋_GBK" w:hAnsi="方正仿宋_GBK" w:eastAsia="方正仿宋_GBK" w:cs="方正仿宋_GBK"/>
          <w:color w:val="auto"/>
          <w:sz w:val="32"/>
          <w:szCs w:val="32"/>
          <w:highlight w:val="none"/>
          <w:lang w:val="en-US" w:eastAsia="zh-CN"/>
        </w:rPr>
        <w:t>赔偿权利人指定的部门或机构</w:t>
      </w:r>
      <w:r>
        <w:rPr>
          <w:rFonts w:hint="eastAsia" w:ascii="方正仿宋_GBK" w:hAnsi="方正仿宋_GBK" w:eastAsia="方正仿宋_GBK" w:cs="方正仿宋_GBK"/>
          <w:color w:val="auto"/>
          <w:kern w:val="2"/>
          <w:sz w:val="32"/>
          <w:szCs w:val="32"/>
          <w:highlight w:val="none"/>
          <w:lang w:val="en-US" w:eastAsia="zh-CN" w:bidi="ar-SA"/>
        </w:rPr>
        <w:t>同意可以开展修复。</w:t>
      </w:r>
    </w:p>
    <w:p w14:paraId="685AC1C7">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十二、生态环境损害无法修复的，在符合有关生态环境修复法律法规政策和规划的前提下，赔偿义务人可以按照有关规定开展补植复绿、增殖放流、认购碳汇等替代修复。探索政策协同机制，推进生态产品价值核算结果在生态环境损害赔偿方面的应用。强化赔偿义务人源头防控理念，鼓励赔偿义务人在履行法定义务之外，提高清洁生产水平，进一步节约资源，削减污染物排放量。鼓励引导</w:t>
      </w:r>
      <w:r>
        <w:rPr>
          <w:rFonts w:hint="eastAsia" w:ascii="Times New Roman" w:hAnsi="Times New Roman" w:eastAsia="方正仿宋_GBK" w:cs="Times New Roman"/>
          <w:color w:val="auto"/>
          <w:sz w:val="32"/>
          <w:szCs w:val="32"/>
          <w:highlight w:val="none"/>
        </w:rPr>
        <w:t>符合条件的赔偿义务人担当生态环境普法宣传员，以公益宣传、志愿服务等有益于生态环境保护的劳务方式</w:t>
      </w:r>
      <w:r>
        <w:rPr>
          <w:rFonts w:hint="eastAsia" w:ascii="方正仿宋_GBK" w:hAnsi="方正仿宋_GBK" w:eastAsia="方正仿宋_GBK" w:cs="方正仿宋_GBK"/>
          <w:color w:val="auto"/>
          <w:sz w:val="32"/>
          <w:szCs w:val="32"/>
          <w:highlight w:val="none"/>
          <w:lang w:val="en-US" w:eastAsia="zh-CN"/>
        </w:rPr>
        <w:t>弥补其对生态环境造成的损害。</w:t>
      </w:r>
    </w:p>
    <w:p w14:paraId="613100C9">
      <w:pPr>
        <w:keepNext w:val="0"/>
        <w:keepLines w:val="0"/>
        <w:pageBreakBefore w:val="0"/>
        <w:numPr>
          <w:ilvl w:val="0"/>
          <w:numId w:val="0"/>
        </w:numPr>
        <w:kinsoku/>
        <w:wordWrap/>
        <w:overflowPunct/>
        <w:topLinePunct w:val="0"/>
        <w:bidi w:val="0"/>
        <w:snapToGrid/>
        <w:spacing w:line="580" w:lineRule="exact"/>
        <w:ind w:firstLine="640"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default" w:ascii="方正仿宋_GBK" w:hAnsi="方正仿宋_GBK" w:eastAsia="方正仿宋_GBK" w:cs="方正仿宋_GBK"/>
          <w:color w:val="auto"/>
          <w:sz w:val="32"/>
          <w:szCs w:val="32"/>
          <w:highlight w:val="none"/>
          <w:lang w:val="en-US" w:eastAsia="zh-CN"/>
        </w:rPr>
        <w:t>采取替代修复或其他赔偿方式不足以弥补其对生态环境造成的损害的，</w:t>
      </w:r>
      <w:r>
        <w:rPr>
          <w:rFonts w:hint="eastAsia" w:ascii="方正仿宋_GBK" w:hAnsi="方正仿宋_GBK" w:eastAsia="方正仿宋_GBK" w:cs="方正仿宋_GBK"/>
          <w:color w:val="auto"/>
          <w:sz w:val="32"/>
          <w:szCs w:val="32"/>
          <w:highlight w:val="none"/>
          <w:lang w:val="en-US" w:eastAsia="zh-CN"/>
        </w:rPr>
        <w:t>赔偿义务人应当</w:t>
      </w:r>
      <w:r>
        <w:rPr>
          <w:rFonts w:hint="default" w:ascii="方正仿宋_GBK" w:hAnsi="方正仿宋_GBK" w:eastAsia="方正仿宋_GBK" w:cs="方正仿宋_GBK"/>
          <w:color w:val="auto"/>
          <w:sz w:val="32"/>
          <w:szCs w:val="32"/>
          <w:highlight w:val="none"/>
          <w:lang w:val="en-US" w:eastAsia="zh-CN"/>
        </w:rPr>
        <w:t>缴纳未履行或未完全履行的修复费用或赔偿资金。</w:t>
      </w:r>
    </w:p>
    <w:p w14:paraId="7C42DD43">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十三、有条件的地区可以因地制宜建设生态环境损害赔偿综合性替代修复区域，构建替代修复项目库，将本地区适宜开展替代修复的项目纳入其中，提高生态环境修复综合效应。</w:t>
      </w:r>
    </w:p>
    <w:p w14:paraId="1AF48672">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鼓励同一行政区域内，根据赔偿义务人能力和意愿，结合受损生态环境的实际情况，匹配适宜的</w:t>
      </w:r>
      <w:r>
        <w:rPr>
          <w:rFonts w:hint="eastAsia" w:ascii="方正仿宋_GBK" w:hAnsi="方正仿宋_GBK" w:eastAsia="方正仿宋_GBK" w:cs="方正仿宋_GBK"/>
          <w:color w:val="auto"/>
          <w:sz w:val="32"/>
          <w:szCs w:val="32"/>
          <w:highlight w:val="none"/>
          <w:lang w:val="en-US" w:eastAsia="zh-CN"/>
        </w:rPr>
        <w:t>替代修复</w:t>
      </w:r>
      <w:r>
        <w:rPr>
          <w:rFonts w:hint="eastAsia" w:ascii="方正仿宋_GBK" w:hAnsi="方正仿宋_GBK" w:eastAsia="方正仿宋_GBK" w:cs="方正仿宋_GBK"/>
          <w:color w:val="auto"/>
          <w:sz w:val="32"/>
          <w:szCs w:val="32"/>
          <w:highlight w:val="none"/>
          <w:lang w:val="en-US" w:eastAsia="zh-CN"/>
        </w:rPr>
        <w:t>项目，实现生态环境及其服务功能集中等量恢复；对暂时未匹配到替代修复项目的资金，可以依法适用提存公证制度，由赔偿义务人自愿申请将一定数额的赔偿资金存入提存帐户，待匹配到替代修复项目后优先使用。</w:t>
      </w:r>
    </w:p>
    <w:p w14:paraId="3B43309D">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十四、赔偿权利人及其指定的部门</w:t>
      </w:r>
      <w:r>
        <w:rPr>
          <w:rFonts w:hint="eastAsia" w:ascii="方正仿宋_GBK" w:hAnsi="方正仿宋_GBK" w:eastAsia="方正仿宋_GBK" w:cs="方正仿宋_GBK"/>
          <w:color w:val="auto"/>
          <w:sz w:val="32"/>
          <w:szCs w:val="32"/>
          <w:highlight w:val="none"/>
          <w:lang w:val="en-US" w:eastAsia="zh-CN"/>
        </w:rPr>
        <w:t>或机构</w:t>
      </w:r>
      <w:r>
        <w:rPr>
          <w:rFonts w:hint="eastAsia" w:ascii="方正仿宋_GBK" w:hAnsi="方正仿宋_GBK" w:eastAsia="方正仿宋_GBK" w:cs="方正仿宋_GBK"/>
          <w:color w:val="auto"/>
          <w:sz w:val="32"/>
          <w:szCs w:val="32"/>
          <w:highlight w:val="none"/>
          <w:lang w:val="en-US" w:eastAsia="zh-CN"/>
        </w:rPr>
        <w:t>应当加强生态环境修复过程监管，组织对受损生态环境修复的效果进行评估，确保生态环境及时有效修复。简单案件可以委托专家按照相关技术规范开展简易修复效果评估；对以劳务方式承担生态环境损害责任的，赔偿权利人指定的部门</w:t>
      </w:r>
      <w:r>
        <w:rPr>
          <w:rFonts w:hint="eastAsia" w:ascii="方正仿宋_GBK" w:hAnsi="方正仿宋_GBK" w:eastAsia="方正仿宋_GBK" w:cs="方正仿宋_GBK"/>
          <w:color w:val="auto"/>
          <w:sz w:val="32"/>
          <w:szCs w:val="32"/>
          <w:highlight w:val="none"/>
          <w:lang w:val="en-US" w:eastAsia="zh-CN"/>
        </w:rPr>
        <w:t>或机构</w:t>
      </w:r>
      <w:r>
        <w:rPr>
          <w:rFonts w:hint="eastAsia" w:ascii="方正仿宋_GBK" w:hAnsi="方正仿宋_GBK" w:eastAsia="方正仿宋_GBK" w:cs="方正仿宋_GBK"/>
          <w:color w:val="auto"/>
          <w:sz w:val="32"/>
          <w:szCs w:val="32"/>
          <w:highlight w:val="none"/>
          <w:lang w:val="en-US" w:eastAsia="zh-CN"/>
        </w:rPr>
        <w:t>可以根据劳务代偿执行情况、相关证明和评价确定劳务代偿是否履行完毕。</w:t>
      </w:r>
    </w:p>
    <w:p w14:paraId="65E5F183">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经评估认为修复效果未达到修复方案要求的，赔偿义务人应当继续开展修复；或者补充缴纳</w:t>
      </w:r>
      <w:r>
        <w:rPr>
          <w:rFonts w:hint="default" w:ascii="方正仿宋_GBK" w:hAnsi="方正仿宋_GBK" w:eastAsia="方正仿宋_GBK" w:cs="方正仿宋_GBK"/>
          <w:color w:val="auto"/>
          <w:sz w:val="32"/>
          <w:szCs w:val="32"/>
          <w:highlight w:val="none"/>
          <w:lang w:val="en-US" w:eastAsia="zh-CN"/>
        </w:rPr>
        <w:t>未完全履行的修复费用或赔偿资金</w:t>
      </w:r>
      <w:r>
        <w:rPr>
          <w:rFonts w:hint="eastAsia" w:ascii="方正仿宋_GBK" w:hAnsi="方正仿宋_GBK" w:eastAsia="方正仿宋_GBK" w:cs="方正仿宋_GBK"/>
          <w:color w:val="auto"/>
          <w:sz w:val="32"/>
          <w:szCs w:val="32"/>
          <w:highlight w:val="none"/>
          <w:lang w:val="en-US" w:eastAsia="zh-CN"/>
        </w:rPr>
        <w:t>，由赔偿权利人指定的部门</w:t>
      </w:r>
      <w:r>
        <w:rPr>
          <w:rFonts w:hint="eastAsia" w:ascii="方正仿宋_GBK" w:hAnsi="方正仿宋_GBK" w:eastAsia="方正仿宋_GBK" w:cs="方正仿宋_GBK"/>
          <w:color w:val="auto"/>
          <w:sz w:val="32"/>
          <w:szCs w:val="32"/>
          <w:highlight w:val="none"/>
          <w:lang w:val="en-US" w:eastAsia="zh-CN"/>
        </w:rPr>
        <w:t>或机构</w:t>
      </w:r>
      <w:r>
        <w:rPr>
          <w:rFonts w:hint="eastAsia" w:ascii="方正仿宋_GBK" w:hAnsi="方正仿宋_GBK" w:eastAsia="方正仿宋_GBK" w:cs="方正仿宋_GBK"/>
          <w:color w:val="auto"/>
          <w:sz w:val="32"/>
          <w:szCs w:val="32"/>
          <w:highlight w:val="none"/>
          <w:lang w:val="en-US" w:eastAsia="zh-CN"/>
        </w:rPr>
        <w:t>继续组织开展修复。</w:t>
      </w:r>
    </w:p>
    <w:p w14:paraId="6A443122">
      <w:pPr>
        <w:keepNext w:val="0"/>
        <w:keepLines w:val="0"/>
        <w:pageBreakBefore w:val="0"/>
        <w:kinsoku/>
        <w:wordWrap/>
        <w:overflowPunct/>
        <w:topLinePunct w:val="0"/>
        <w:bidi w:val="0"/>
        <w:snapToGrid/>
        <w:spacing w:line="580" w:lineRule="exact"/>
        <w:ind w:firstLine="640"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诉讼案件需要修复生态环境的，人民法院及时将裁判文书及相关案件材料移送损害结果发生地的设区市级具有相关生态环境监督管理</w:t>
      </w:r>
      <w:r>
        <w:rPr>
          <w:rFonts w:hint="eastAsia" w:ascii="Times New Roman" w:hAnsi="Times New Roman" w:eastAsia="方正仿宋_GBK" w:cs="Times New Roman"/>
          <w:color w:val="auto"/>
          <w:sz w:val="32"/>
          <w:szCs w:val="32"/>
          <w:highlight w:val="none"/>
          <w:lang w:val="en-US" w:eastAsia="zh-CN"/>
        </w:rPr>
        <w:t>职责</w:t>
      </w:r>
      <w:r>
        <w:rPr>
          <w:rFonts w:hint="eastAsia" w:ascii="方正仿宋_GBK" w:hAnsi="方正仿宋_GBK" w:eastAsia="方正仿宋_GBK" w:cs="方正仿宋_GBK"/>
          <w:color w:val="auto"/>
          <w:sz w:val="32"/>
          <w:szCs w:val="32"/>
          <w:highlight w:val="none"/>
          <w:lang w:val="en-US" w:eastAsia="zh-CN"/>
        </w:rPr>
        <w:t>的部门，按照本决定前述规定和</w:t>
      </w:r>
      <w:r>
        <w:rPr>
          <w:rFonts w:hint="eastAsia" w:ascii="方正仿宋_GBK" w:hAnsi="方正仿宋_GBK" w:eastAsia="方正仿宋_GBK" w:cs="方正仿宋_GBK"/>
          <w:color w:val="auto"/>
          <w:sz w:val="32"/>
          <w:szCs w:val="32"/>
          <w:highlight w:val="none"/>
        </w:rPr>
        <w:t>生效判决要求</w:t>
      </w:r>
      <w:r>
        <w:rPr>
          <w:rFonts w:hint="eastAsia" w:ascii="方正仿宋_GBK" w:hAnsi="方正仿宋_GBK" w:eastAsia="方正仿宋_GBK" w:cs="方正仿宋_GBK"/>
          <w:color w:val="auto"/>
          <w:sz w:val="32"/>
          <w:szCs w:val="32"/>
          <w:highlight w:val="none"/>
          <w:lang w:val="en-US" w:eastAsia="zh-CN"/>
        </w:rPr>
        <w:t>使用赔偿资金、组织开展修复。</w:t>
      </w:r>
    </w:p>
    <w:p w14:paraId="31828AFE">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十五、对生态环境损害无法修复的案件，赔偿义务人不开展替代修复或在规定期限内未匹配到替代修复项目的，其主动缴纳或者按照磋商达成的赔偿协议、诉讼裁判文书以及其他生效法律文书确定缴纳的赔偿资金作为政府非税收入纳入一般公共预算管理，缴入同级国库。</w:t>
      </w:r>
    </w:p>
    <w:p w14:paraId="38D4D26F">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赔偿资金按照依法合规、专款专用、公开透明、跟踪问效的原则，主要用于生态环境损害修复及相关支出：</w:t>
      </w:r>
    </w:p>
    <w:p w14:paraId="55564655">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（一）应急处置方案编制与实施、清除污染以及为防止损害的发生和扩大等相关合理支出；</w:t>
      </w:r>
    </w:p>
    <w:p w14:paraId="000ACB75">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（二）受损生态环境的修复支出，涉及水、大气、土壤和地下水修复支出，生物多样性保护、湿地生态保护及相关生态修复项目的替代修复支出；</w:t>
      </w:r>
    </w:p>
    <w:p w14:paraId="062EAB92">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（三）弥补生态环境受到损害至修复完成期间服务功能丧失导致的损失、弥补生态环境功能永久性损害造成的损失；</w:t>
      </w:r>
    </w:p>
    <w:p w14:paraId="71D4EFE3">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四）磋商和诉讼中产生的鉴定评估（包括调查、鉴定、勘验、监测、专家咨询）费用，修复方案编制及修复效果评估费用，律师代理及诉讼等相关合理支出（包括经初步核查发现符合不启动或者终止索赔情形的案件产生的事务性费用）；</w:t>
      </w:r>
    </w:p>
    <w:p w14:paraId="0424AC52">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（五）其他与生态环境损害修复相关的支出。</w:t>
      </w:r>
    </w:p>
    <w:p w14:paraId="115E4BAB">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十六、赔偿权利人指定的部门或机构应当按照国家和省有关规定，在案件移送、磋商诉讼、生态修复、信息共享和宣传交流等方面加</w:t>
      </w:r>
      <w:r>
        <w:rPr>
          <w:rFonts w:hint="eastAsia" w:ascii="方正仿宋_GBK" w:hAnsi="方正仿宋_GBK" w:eastAsia="方正仿宋_GBK" w:cs="方正仿宋_GBK"/>
          <w:b w:val="0"/>
          <w:bCs w:val="0"/>
          <w:color w:val="auto"/>
          <w:sz w:val="32"/>
          <w:szCs w:val="32"/>
          <w:highlight w:val="none"/>
          <w:lang w:val="en-US" w:eastAsia="zh-CN"/>
        </w:rPr>
        <w:t>强生态环境损害赔偿与生态环境公益诉讼衔接。</w:t>
      </w:r>
    </w:p>
    <w:p w14:paraId="5FE87667">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检察机关</w:t>
      </w:r>
      <w:r>
        <w:rPr>
          <w:rFonts w:hint="eastAsia" w:ascii="方正仿宋_GBK" w:hAnsi="方正仿宋_GBK" w:eastAsia="方正仿宋_GBK" w:cs="方正仿宋_GBK"/>
          <w:color w:val="auto"/>
          <w:sz w:val="32"/>
          <w:szCs w:val="32"/>
          <w:highlight w:val="none"/>
        </w:rPr>
        <w:t>支持赔偿权利人及其指定的部门或机构开展生态环境损害赔偿工作并依法监督</w:t>
      </w:r>
      <w:r>
        <w:rPr>
          <w:rFonts w:hint="eastAsia" w:ascii="方正仿宋_GBK" w:hAnsi="方正仿宋_GBK" w:eastAsia="方正仿宋_GBK" w:cs="方正仿宋_GBK"/>
          <w:b w:val="0"/>
          <w:bCs w:val="0"/>
          <w:color w:val="auto"/>
          <w:sz w:val="32"/>
          <w:szCs w:val="32"/>
          <w:highlight w:val="none"/>
          <w:lang w:val="en-US" w:eastAsia="zh-CN"/>
        </w:rPr>
        <w:t>。负责生态环境损害赔偿牵头工作的生态环境部门，发现赔偿权利人指定的其他部门或机构应当开展生态环境损害索赔工作而未开展的，可以将相关线索移送检察机关开展法律监督。</w:t>
      </w:r>
    </w:p>
    <w:p w14:paraId="745C6DFB">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十七、赔偿权利人及其指定的部门或机构可以积极创新公众参与方式，邀请相关部门、专家和人大代表、政协委员及民主党派、社会组织、行业商会协会、社区居民代表等参加索赔磋商、索赔诉讼或者生态环境修复，接受公众监督。</w:t>
      </w:r>
    </w:p>
    <w:p w14:paraId="69BCB969">
      <w:pPr>
        <w:keepNext w:val="0"/>
        <w:keepLines w:val="0"/>
        <w:pageBreakBefore w:val="0"/>
        <w:kinsoku/>
        <w:wordWrap/>
        <w:overflowPunct/>
        <w:topLinePunct w:val="0"/>
        <w:bidi w:val="0"/>
        <w:snapToGrid/>
        <w:spacing w:line="58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十八、本省推动长江三角洲区域生态环境损害赔偿制度创新，共享技术资源、经验做法和典型案例，引导企业事业单位、其他生产经营者和社会公众逐步强化生态环境保护意识，助力长三角生态绿色一体化高质量发展。</w:t>
      </w:r>
    </w:p>
    <w:p w14:paraId="77145C57">
      <w:pPr>
        <w:keepNext w:val="0"/>
        <w:keepLines w:val="0"/>
        <w:pageBreakBefore w:val="0"/>
        <w:kinsoku/>
        <w:wordWrap/>
        <w:overflowPunct/>
        <w:topLinePunct w:val="0"/>
        <w:bidi w:val="0"/>
        <w:snapToGrid/>
        <w:spacing w:line="580" w:lineRule="exact"/>
        <w:ind w:firstLine="640" w:firstLineChars="200"/>
        <w:textAlignment w:val="auto"/>
        <w:rPr>
          <w:highlight w:val="none"/>
        </w:rPr>
      </w:pPr>
      <w:r>
        <w:rPr>
          <w:rFonts w:hint="eastAsia" w:ascii="方正仿宋_GBK" w:hAnsi="方正仿宋_GBK" w:eastAsia="方正仿宋_GBK" w:cs="方正仿宋_GBK"/>
          <w:color w:val="auto"/>
          <w:sz w:val="32"/>
          <w:szCs w:val="32"/>
          <w:highlight w:val="none"/>
          <w:lang w:val="en-US" w:eastAsia="zh-CN"/>
        </w:rPr>
        <w:t>十九、</w:t>
      </w:r>
      <w:r>
        <w:rPr>
          <w:rFonts w:hint="eastAsia" w:ascii="方正仿宋_GBK" w:hAnsi="方正仿宋_GBK" w:eastAsia="方正仿宋_GBK" w:cs="方正仿宋_GBK"/>
          <w:color w:val="auto"/>
          <w:sz w:val="32"/>
          <w:szCs w:val="32"/>
          <w:highlight w:val="none"/>
        </w:rPr>
        <w:t>本</w:t>
      </w:r>
      <w:r>
        <w:rPr>
          <w:rFonts w:hint="eastAsia" w:ascii="方正仿宋_GBK" w:hAnsi="方正仿宋_GBK" w:eastAsia="方正仿宋_GBK" w:cs="方正仿宋_GBK"/>
          <w:color w:val="auto"/>
          <w:sz w:val="32"/>
          <w:szCs w:val="32"/>
          <w:highlight w:val="none"/>
          <w:lang w:val="en-US" w:eastAsia="zh-CN"/>
        </w:rPr>
        <w:t>决定</w:t>
      </w:r>
      <w:r>
        <w:rPr>
          <w:rFonts w:hint="eastAsia" w:ascii="方正仿宋_GBK" w:hAnsi="方正仿宋_GBK" w:eastAsia="方正仿宋_GBK" w:cs="方正仿宋_GBK"/>
          <w:color w:val="auto"/>
          <w:sz w:val="32"/>
          <w:szCs w:val="32"/>
          <w:highlight w:val="none"/>
        </w:rPr>
        <w:t>自</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年</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月</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日起施行</w:t>
      </w:r>
      <w:r>
        <w:rPr>
          <w:rFonts w:hint="eastAsia" w:ascii="方正仿宋_GBK" w:hAnsi="方正仿宋_GBK" w:eastAsia="方正仿宋_GBK" w:cs="方正仿宋_GBK"/>
          <w:color w:val="auto"/>
          <w:sz w:val="32"/>
          <w:szCs w:val="32"/>
          <w:highlight w:val="none"/>
          <w:lang w:eastAsia="zh-CN"/>
        </w:rPr>
        <w:t>。</w:t>
      </w:r>
    </w:p>
    <w:p w14:paraId="31B1A6EB">
      <w:pPr>
        <w:rPr>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4B09F25-CC2D-4D4B-901D-51D32CF9806F}"/>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2" w:fontKey="{27CB2005-E3B6-45B5-8624-C3B9F17D73C2}"/>
  </w:font>
  <w:font w:name="方正仿宋_GBK">
    <w:panose1 w:val="02000000000000000000"/>
    <w:charset w:val="86"/>
    <w:family w:val="auto"/>
    <w:pitch w:val="default"/>
    <w:sig w:usb0="00000001" w:usb1="080E0000" w:usb2="00000000" w:usb3="00000000" w:csb0="00040000" w:csb1="00000000"/>
    <w:embedRegular r:id="rId3" w:fontKey="{1AEFE26D-C2CE-4112-BC0A-B4BEEE0618EC}"/>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01CBF">
    <w:pPr>
      <w:pStyle w:val="3"/>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41295C6">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341295C6">
                    <w:pPr>
                      <w:pStyle w:val="3"/>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0555">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EC0DD4"/>
    <w:rsid w:val="090E6BB3"/>
    <w:rsid w:val="12277F28"/>
    <w:rsid w:val="1B4A72BD"/>
    <w:rsid w:val="1CBC2790"/>
    <w:rsid w:val="50EC0DD4"/>
    <w:rsid w:val="541502B7"/>
    <w:rsid w:val="5C57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图标题"/>
    <w:basedOn w:val="2"/>
    <w:qFormat/>
    <w:uiPriority w:val="0"/>
    <w:pPr>
      <w:spacing w:after="50" w:afterLines="50" w:line="520" w:lineRule="exact"/>
      <w:jc w:val="center"/>
    </w:pPr>
    <w:rPr>
      <w:rFonts w:hint="eastAsia" w:ascii="Times New Roman" w:hAnsi="Times New Roman" w:eastAsia="仿宋_GB2312" w:cs="Times New Roman"/>
      <w:bCs/>
      <w:sz w:val="28"/>
      <w:szCs w:val="28"/>
    </w:rPr>
  </w:style>
  <w:style w:type="paragraph" w:customStyle="1" w:styleId="8">
    <w:name w:val="Default"/>
    <w:qFormat/>
    <w:uiPriority w:val="0"/>
    <w:pPr>
      <w:autoSpaceDE w:val="0"/>
      <w:autoSpaceDN w:val="0"/>
      <w:adjustRightInd w:val="0"/>
      <w:spacing w:after="0" w:line="240" w:lineRule="auto"/>
    </w:pPr>
    <w:rPr>
      <w:rFonts w:ascii="黑体" w:hAnsi="宋体"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4358</Words>
  <Characters>4365</Characters>
  <Lines>0</Lines>
  <Paragraphs>0</Paragraphs>
  <TotalTime>40</TotalTime>
  <ScaleCrop>false</ScaleCrop>
  <LinksUpToDate>false</LinksUpToDate>
  <CharactersWithSpaces>4371</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2026-09-09T01:48:00Z</dcterms:created>
  <dc:creator>darry</dc:creator>
  <cp:lastModifiedBy>darry</cp:lastModifiedBy>
  <dcterms:modified xsi:type="dcterms:W3CDTF">2026-09-11T09:25:35Z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D3CF2A2D58C7422D975950B78044B642_13</vt:lpwstr>
  </property>
  <property fmtid="{D5CDD505-2E9C-101B-9397-08002B2CF9AE}" pid="4" name="KSOTemplateDocerSaveRecord">
    <vt:lpwstr>eyJoZGlkIjoiOTU5NjIyYWVhOGU4NjllNWVkZjMyZmVjNzA1NTcwM2UiLCJ1c2VySWQiOiIyODg4MjUzNjAifQ==</vt:lpwstr>
  </property>
</Properties>
</file>