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B2323">
      <w:pPr>
        <w:keepNext w:val="0"/>
        <w:keepLines w:val="0"/>
        <w:pageBreakBefore w:val="0"/>
        <w:widowControl w:val="0"/>
        <w:kinsoku/>
        <w:wordWrap/>
        <w:overflowPunct/>
        <w:topLinePunct w:val="0"/>
        <w:autoSpaceDE/>
        <w:autoSpaceDN/>
        <w:bidi w:val="0"/>
        <w:snapToGrid/>
        <w:spacing w:line="560" w:lineRule="exact"/>
        <w:jc w:val="center"/>
        <w:textAlignment w:val="auto"/>
        <w:rPr>
          <w:rFonts w:hint="eastAsia" w:ascii="方正小标宋_GBK" w:hAnsi="Times New Roman" w:eastAsia="方正小标宋_GBK" w:cs="Times New Roman"/>
          <w:bCs/>
          <w:color w:val="000000" w:themeColor="text1"/>
          <w:kern w:val="2"/>
          <w:sz w:val="44"/>
          <w:szCs w:val="44"/>
          <w:lang w:val="en-US" w:eastAsia="zh-CN" w:bidi="ar-SA"/>
          <w14:textFill>
            <w14:solidFill>
              <w14:schemeClr w14:val="tx1"/>
            </w14:solidFill>
          </w14:textFill>
          <w14:ligatures w14:val="standardContextual"/>
        </w:rPr>
      </w:pPr>
      <w:bookmarkStart w:id="0" w:name="_GoBack"/>
      <w:bookmarkEnd w:id="0"/>
    </w:p>
    <w:p w14:paraId="7416F366">
      <w:pPr>
        <w:keepNext w:val="0"/>
        <w:keepLines w:val="0"/>
        <w:pageBreakBefore w:val="0"/>
        <w:widowControl w:val="0"/>
        <w:kinsoku/>
        <w:wordWrap/>
        <w:overflowPunct/>
        <w:topLinePunct w:val="0"/>
        <w:autoSpaceDE/>
        <w:autoSpaceDN/>
        <w:bidi w:val="0"/>
        <w:snapToGrid/>
        <w:spacing w:line="560" w:lineRule="exact"/>
        <w:jc w:val="center"/>
        <w:textAlignment w:val="auto"/>
        <w:rPr>
          <w:rFonts w:hint="eastAsia" w:ascii="方正小标宋_GBK" w:hAnsi="Times New Roman" w:eastAsia="方正小标宋_GBK" w:cs="Times New Roman"/>
          <w:bCs/>
          <w:color w:val="000000" w:themeColor="text1"/>
          <w:kern w:val="2"/>
          <w:sz w:val="44"/>
          <w:szCs w:val="44"/>
          <w:lang w:val="en-US" w:eastAsia="zh-CN" w:bidi="ar-SA"/>
          <w14:textFill>
            <w14:solidFill>
              <w14:schemeClr w14:val="tx1"/>
            </w14:solidFill>
          </w14:textFill>
          <w14:ligatures w14:val="standardContextual"/>
        </w:rPr>
      </w:pPr>
    </w:p>
    <w:p w14:paraId="39AEA92F">
      <w:pPr>
        <w:keepNext w:val="0"/>
        <w:keepLines w:val="0"/>
        <w:pageBreakBefore w:val="0"/>
        <w:widowControl w:val="0"/>
        <w:kinsoku/>
        <w:wordWrap/>
        <w:overflowPunct/>
        <w:topLinePunct w:val="0"/>
        <w:autoSpaceDE/>
        <w:autoSpaceDN/>
        <w:bidi w:val="0"/>
        <w:snapToGrid/>
        <w:spacing w:line="56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Times New Roman" w:eastAsia="方正小标宋_GBK" w:cs="Times New Roman"/>
          <w:bCs/>
          <w:color w:val="000000" w:themeColor="text1"/>
          <w:kern w:val="2"/>
          <w:sz w:val="44"/>
          <w:szCs w:val="44"/>
          <w:lang w:val="en-US" w:eastAsia="zh-CN" w:bidi="ar-SA"/>
          <w14:textFill>
            <w14:solidFill>
              <w14:schemeClr w14:val="tx1"/>
            </w14:solidFill>
          </w14:textFill>
          <w14:ligatures w14:val="standardContextual"/>
        </w:rPr>
        <w:t>《</w:t>
      </w:r>
      <w:r>
        <w:rPr>
          <w:rFonts w:hint="eastAsia" w:ascii="方正小标宋_GBK" w:hAnsi="方正小标宋_GBK" w:eastAsia="方正小标宋_GBK" w:cs="方正小标宋_GBK"/>
          <w:sz w:val="44"/>
          <w:szCs w:val="44"/>
          <w:highlight w:val="none"/>
        </w:rPr>
        <w:t>关于</w:t>
      </w:r>
      <w:r>
        <w:rPr>
          <w:rFonts w:hint="eastAsia" w:ascii="方正小标宋_GBK" w:hAnsi="方正小标宋_GBK" w:eastAsia="方正小标宋_GBK" w:cs="方正小标宋_GBK"/>
          <w:sz w:val="44"/>
          <w:szCs w:val="44"/>
          <w:highlight w:val="none"/>
          <w:lang w:val="en-US" w:eastAsia="zh-CN"/>
        </w:rPr>
        <w:t>统筹推进</w:t>
      </w:r>
      <w:r>
        <w:rPr>
          <w:rFonts w:hint="eastAsia" w:ascii="方正小标宋_GBK" w:hAnsi="方正小标宋_GBK" w:eastAsia="方正小标宋_GBK" w:cs="方正小标宋_GBK"/>
          <w:sz w:val="44"/>
          <w:szCs w:val="44"/>
          <w:highlight w:val="none"/>
        </w:rPr>
        <w:t>生态环境损害赔偿的决定</w:t>
      </w:r>
    </w:p>
    <w:p w14:paraId="28DB6AF9">
      <w:pPr>
        <w:keepNext w:val="0"/>
        <w:keepLines w:val="0"/>
        <w:pageBreakBefore w:val="0"/>
        <w:widowControl w:val="0"/>
        <w:kinsoku/>
        <w:wordWrap/>
        <w:overflowPunct/>
        <w:topLinePunct w:val="0"/>
        <w:autoSpaceDE/>
        <w:autoSpaceDN/>
        <w:bidi w:val="0"/>
        <w:snapToGrid/>
        <w:spacing w:line="560" w:lineRule="exact"/>
        <w:jc w:val="center"/>
        <w:textAlignment w:val="auto"/>
        <w:rPr>
          <w:rFonts w:hint="eastAsia" w:ascii="方正小标宋_GBK" w:hAnsi="Times New Roman" w:eastAsia="方正小标宋_GBK" w:cs="Times New Roman"/>
          <w:bCs/>
          <w:color w:val="000000" w:themeColor="text1"/>
          <w:kern w:val="2"/>
          <w:sz w:val="44"/>
          <w:szCs w:val="44"/>
          <w:lang w:val="en-US" w:eastAsia="zh-CN" w:bidi="ar-SA"/>
          <w14:textFill>
            <w14:solidFill>
              <w14:schemeClr w14:val="tx1"/>
            </w14:solidFill>
          </w14:textFill>
          <w14:ligatures w14:val="standardContextual"/>
        </w:rPr>
      </w:pPr>
      <w:r>
        <w:rPr>
          <w:rFonts w:hint="eastAsia" w:ascii="方正小标宋_GBK" w:hAnsi="方正小标宋_GBK" w:eastAsia="方正小标宋_GBK" w:cs="方正小标宋_GBK"/>
          <w:sz w:val="44"/>
          <w:szCs w:val="44"/>
          <w:highlight w:val="none"/>
          <w:lang w:eastAsia="zh-CN"/>
        </w:rPr>
        <w:t>（</w:t>
      </w:r>
      <w:r>
        <w:rPr>
          <w:rFonts w:hint="eastAsia" w:ascii="方正小标宋_GBK" w:hAnsi="方正小标宋_GBK" w:eastAsia="方正小标宋_GBK" w:cs="方正小标宋_GBK"/>
          <w:sz w:val="44"/>
          <w:szCs w:val="44"/>
          <w:highlight w:val="none"/>
          <w:lang w:val="en-US" w:eastAsia="zh-CN"/>
        </w:rPr>
        <w:t>征求意见稿）</w:t>
      </w:r>
      <w:r>
        <w:rPr>
          <w:rFonts w:hint="eastAsia" w:ascii="方正小标宋_GBK" w:hAnsi="Times New Roman" w:eastAsia="方正小标宋_GBK" w:cs="Times New Roman"/>
          <w:bCs/>
          <w:color w:val="000000" w:themeColor="text1"/>
          <w:kern w:val="2"/>
          <w:sz w:val="44"/>
          <w:szCs w:val="44"/>
          <w:lang w:val="en-US" w:eastAsia="zh-CN" w:bidi="ar-SA"/>
          <w14:textFill>
            <w14:solidFill>
              <w14:schemeClr w14:val="tx1"/>
            </w14:solidFill>
          </w14:textFill>
          <w14:ligatures w14:val="standardContextual"/>
        </w:rPr>
        <w:t>》起草说明</w:t>
      </w:r>
    </w:p>
    <w:p w14:paraId="4C2C7070">
      <w:pPr>
        <w:pStyle w:val="8"/>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黑体_GBK" w:hAnsi="Times New Roman" w:eastAsia="方正黑体_GBK" w:cs="Times New Roman"/>
          <w:bCs/>
          <w:color w:val="000000" w:themeColor="text1"/>
          <w:sz w:val="32"/>
          <w:szCs w:val="32"/>
          <w14:textFill>
            <w14:solidFill>
              <w14:schemeClr w14:val="tx1"/>
            </w14:solidFill>
          </w14:textFill>
        </w:rPr>
      </w:pPr>
    </w:p>
    <w:p w14:paraId="4DE56E16">
      <w:pPr>
        <w:pStyle w:val="8"/>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黑体_GBK" w:hAnsi="Times New Roman" w:eastAsia="方正黑体_GBK" w:cs="Times New Roman"/>
          <w:bCs/>
          <w:color w:val="000000" w:themeColor="text1"/>
          <w:sz w:val="32"/>
          <w:szCs w:val="32"/>
          <w14:textFill>
            <w14:solidFill>
              <w14:schemeClr w14:val="tx1"/>
            </w14:solidFill>
          </w14:textFill>
        </w:rPr>
      </w:pPr>
      <w:r>
        <w:rPr>
          <w:rFonts w:hint="eastAsia" w:ascii="方正黑体_GBK" w:hAnsi="Times New Roman" w:eastAsia="方正黑体_GBK" w:cs="Times New Roman"/>
          <w:bCs/>
          <w:color w:val="000000" w:themeColor="text1"/>
          <w:sz w:val="32"/>
          <w:szCs w:val="32"/>
          <w14:textFill>
            <w14:solidFill>
              <w14:schemeClr w14:val="tx1"/>
            </w14:solidFill>
          </w14:textFill>
        </w:rPr>
        <w:t>一、关于起草决定的必要性</w:t>
      </w:r>
    </w:p>
    <w:p w14:paraId="3EACD0C5">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（一）贯彻落实党中央改革决策部署的必然要求。</w:t>
      </w:r>
      <w:r>
        <w:rPr>
          <w:rFonts w:hint="eastAsia" w:ascii="方正仿宋_GBK" w:hAnsi="方正仿宋_GBK" w:eastAsia="方正仿宋_GBK" w:cs="方正仿宋_GBK"/>
          <w:sz w:val="32"/>
          <w:szCs w:val="32"/>
        </w:rPr>
        <w:t>党的二十届三中全会通过的《中共中央关于进一步全面深化改革、推进中国式现代化的决定》明确提出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统筹推进生态环境损害赔偿</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的改革任务。</w:t>
      </w:r>
      <w:r>
        <w:rPr>
          <w:rFonts w:hint="eastAsia" w:ascii="Times New Roman" w:hAnsi="Times New Roman" w:eastAsia="方正仿宋_GBK" w:cs="Times New Roman"/>
          <w:sz w:val="32"/>
          <w:szCs w:val="32"/>
          <w:lang w:eastAsia="zh-CN"/>
        </w:rPr>
        <w:t>《中共中央 国务院关于全面推进美丽中国建设的意见》以及《中共中央 国务院关于加快经济社会发展全面绿色转型的意见》均对生态环境损害赔偿工作提出了要求。</w:t>
      </w:r>
      <w:r>
        <w:rPr>
          <w:rFonts w:hint="eastAsia" w:ascii="方正仿宋_GBK" w:hAnsi="方正仿宋_GBK" w:eastAsia="方正仿宋_GBK" w:cs="方正仿宋_GBK"/>
          <w:sz w:val="32"/>
          <w:szCs w:val="32"/>
        </w:rPr>
        <w:t>以地方立法形式对生态环境损害赔偿工作作出系统规范，是落实党中央改革部署、推动改革在法治化轨道上走深走实的重要举措。</w:t>
      </w:r>
    </w:p>
    <w:p w14:paraId="52ED1434">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（二）细化落实上位法和</w:t>
      </w:r>
      <w:r>
        <w:rPr>
          <w:rFonts w:hint="eastAsia" w:ascii="方正楷体_GBK" w:hAnsi="方正楷体_GBK" w:eastAsia="方正楷体_GBK" w:cs="方正楷体_GBK"/>
          <w:sz w:val="32"/>
          <w:szCs w:val="32"/>
          <w:lang w:val="en-US" w:eastAsia="zh-CN"/>
        </w:rPr>
        <w:t>政策</w:t>
      </w:r>
      <w:r>
        <w:rPr>
          <w:rFonts w:hint="eastAsia" w:ascii="方正楷体_GBK" w:hAnsi="方正楷体_GBK" w:eastAsia="方正楷体_GBK" w:cs="方正楷体_GBK"/>
          <w:sz w:val="32"/>
          <w:szCs w:val="32"/>
        </w:rPr>
        <w:t>文件规定的客观需要。</w:t>
      </w:r>
      <w:r>
        <w:rPr>
          <w:rFonts w:hint="eastAsia" w:ascii="方正仿宋_GBK" w:hAnsi="方正仿宋_GBK" w:eastAsia="方正仿宋_GBK" w:cs="方正仿宋_GBK"/>
          <w:sz w:val="32"/>
          <w:szCs w:val="32"/>
        </w:rPr>
        <w:t>《中华人民共和国民法典》和《中华人民共和国生态环境法典》确立了生态环境损害赔偿</w:t>
      </w:r>
      <w:r>
        <w:rPr>
          <w:rFonts w:hint="eastAsia" w:ascii="方正仿宋_GBK" w:hAnsi="方正仿宋_GBK" w:eastAsia="方正仿宋_GBK" w:cs="方正仿宋_GBK"/>
          <w:sz w:val="32"/>
          <w:szCs w:val="32"/>
          <w:lang w:val="en-US" w:eastAsia="zh-CN"/>
        </w:rPr>
        <w:t>法治基石</w:t>
      </w:r>
      <w:r>
        <w:rPr>
          <w:rFonts w:hint="eastAsia" w:ascii="方正仿宋_GBK" w:hAnsi="方正仿宋_GBK" w:eastAsia="方正仿宋_GBK" w:cs="方正仿宋_GBK"/>
          <w:sz w:val="32"/>
          <w:szCs w:val="32"/>
          <w:lang w:eastAsia="zh-CN"/>
        </w:rPr>
        <w:t>，</w:t>
      </w:r>
      <w:r>
        <w:rPr>
          <w:rFonts w:hint="eastAsia" w:ascii="Times New Roman" w:hAnsi="Times New Roman" w:eastAsia="方正仿宋_GBK" w:cs="Times New Roman"/>
          <w:b w:val="0"/>
          <w:bCs w:val="0"/>
          <w:sz w:val="32"/>
          <w:szCs w:val="32"/>
          <w:lang w:val="en-US" w:eastAsia="zh-CN"/>
        </w:rPr>
        <w:t>对生态环境损害赔偿作出原则性规定，但</w:t>
      </w:r>
      <w:r>
        <w:rPr>
          <w:rFonts w:hint="eastAsia" w:ascii="Times New Roman" w:hAnsi="Times New Roman" w:eastAsia="方正仿宋_GBK" w:cs="Times New Roman"/>
          <w:sz w:val="32"/>
          <w:szCs w:val="32"/>
          <w:lang w:val="en-US" w:eastAsia="zh-CN"/>
        </w:rPr>
        <w:t>缺乏统一的适用标准与协调机制，导致司法实践中出现责任认定难、赔偿范围模糊、执行效率低等问题</w:t>
      </w:r>
      <w:r>
        <w:rPr>
          <w:rFonts w:hint="eastAsia" w:ascii="Times New Roman" w:hAnsi="Times New Roman" w:eastAsia="方正仿宋_GBK" w:cs="方正仿宋_GBK"/>
          <w:sz w:val="32"/>
          <w:szCs w:val="32"/>
          <w:lang w:val="en-US" w:eastAsia="zh-CN"/>
        </w:rPr>
        <w:t>。</w:t>
      </w:r>
      <w:r>
        <w:rPr>
          <w:rFonts w:hint="eastAsia" w:ascii="方正仿宋_GBK" w:hAnsi="方正仿宋_GBK" w:eastAsia="方正仿宋_GBK" w:cs="方正仿宋_GBK"/>
          <w:sz w:val="32"/>
          <w:szCs w:val="32"/>
        </w:rPr>
        <w:t>中共中央办公厅、国务院办公厅印发的《生态环境损害赔偿制度改革方案》以及生态环境部等部门印发的《生态环境损害赔偿管理规定》《关于深入推进生态环境损害赔偿制度改革若干具体问题的意见》，对索赔主体、线索筛查、索赔启动、简易办理、替代修复、修复效果评估等作出了具体规定，</w:t>
      </w:r>
      <w:r>
        <w:rPr>
          <w:rFonts w:hint="eastAsia" w:ascii="Times New Roman" w:hAnsi="Times New Roman" w:eastAsia="方正仿宋_GBK" w:cs="方正仿宋_GBK"/>
          <w:sz w:val="32"/>
          <w:szCs w:val="32"/>
          <w:lang w:eastAsia="zh-CN"/>
        </w:rPr>
        <w:t>生态环境损害赔偿工作仍主要依赖部门政策文件推进，其系统性法律规定尚处于起步阶段。</w:t>
      </w:r>
      <w:r>
        <w:rPr>
          <w:rFonts w:hint="eastAsia" w:ascii="方正仿宋_GBK" w:hAnsi="方正仿宋_GBK" w:eastAsia="方正仿宋_GBK" w:cs="方正仿宋_GBK"/>
          <w:sz w:val="32"/>
          <w:szCs w:val="32"/>
        </w:rPr>
        <w:t>需要通过地方立法予以细化承接，增强制度的可操作性。本省生态环境保护条例已对生态环境损害修复和赔偿责任、索赔磋商等作了原则规定，有必要作进一步具体化。</w:t>
      </w:r>
    </w:p>
    <w:p w14:paraId="0E66ED3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（三）解决当前工作突出问题的现实需要。</w:t>
      </w:r>
      <w:r>
        <w:rPr>
          <w:rFonts w:hint="eastAsia" w:ascii="Times New Roman" w:hAnsi="Times New Roman" w:eastAsia="方正仿宋_GBK" w:cs="Times New Roman"/>
          <w:sz w:val="32"/>
          <w:szCs w:val="32"/>
          <w:highlight w:val="none"/>
          <w:lang w:val="en-US" w:eastAsia="zh-CN"/>
        </w:rPr>
        <w:t>随着改革从试点探索转入常态化实施阶段，一些深层次矛盾逐渐显现，</w:t>
      </w:r>
      <w:r>
        <w:rPr>
          <w:rFonts w:hint="eastAsia" w:ascii="方正仿宋_GBK" w:hAnsi="方正仿宋_GBK" w:eastAsia="方正仿宋_GBK" w:cs="方正仿宋_GBK"/>
          <w:sz w:val="32"/>
          <w:szCs w:val="32"/>
        </w:rPr>
        <w:t>一是赔偿权利人的指定部门或机构职责边界不够清晰，部门协同联动有待加强；二是线索筛查不全面、与行政执法等衔接不畅，部分案件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应赔未赔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；三是案件办理繁简不分，简单案件程序负担较重，重大案件缺乏报告督办；四是替代修复、赔偿资金管理使用不够规范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修复监督存在缺位</w:t>
      </w:r>
      <w:r>
        <w:rPr>
          <w:rFonts w:hint="eastAsia" w:ascii="方正仿宋_GBK" w:hAnsi="方正仿宋_GBK" w:eastAsia="方正仿宋_GBK" w:cs="方正仿宋_GBK"/>
          <w:sz w:val="32"/>
          <w:szCs w:val="32"/>
        </w:rPr>
        <w:t>；五是与检察公益诉讼的衔接机制尚不健全。上述问题需要通过立法作出制度性安排</w:t>
      </w:r>
      <w:r>
        <w:rPr>
          <w:rFonts w:hint="eastAsia" w:ascii="方正仿宋_GBK" w:hAnsi="方正仿宋_GBK" w:eastAsia="方正仿宋_GBK" w:cs="方正仿宋_GBK"/>
          <w:sz w:val="32"/>
          <w:szCs w:val="32"/>
          <w:lang w:eastAsia="zh-CN"/>
        </w:rPr>
        <w:t>，</w:t>
      </w:r>
      <w:r>
        <w:rPr>
          <w:rFonts w:hint="eastAsia" w:ascii="Times New Roman" w:hAnsi="Times New Roman" w:eastAsia="方正仿宋_GBK" w:cs="Times New Roman"/>
          <w:sz w:val="32"/>
          <w:szCs w:val="32"/>
          <w:highlight w:val="none"/>
          <w:lang w:val="en-US" w:eastAsia="zh-CN"/>
        </w:rPr>
        <w:t>通过制定具有普遍约束力和更高法律效力的地方性法规，对上述各个环节作出系统性的顶层设计、确立强制性的法律规范、提供清晰的操作指引，从而为改革的深化和难题的破解奠定坚实的法治基础。</w:t>
      </w:r>
    </w:p>
    <w:p w14:paraId="552F881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方正楷体_GBK" w:hAnsi="方正楷体_GBK" w:eastAsia="方正楷体_GBK" w:cs="方正楷体_GBK"/>
          <w:sz w:val="32"/>
          <w:szCs w:val="32"/>
        </w:rPr>
        <w:t>（四）总结提升本省实践经验的需要。</w:t>
      </w:r>
      <w:r>
        <w:rPr>
          <w:rFonts w:hint="eastAsia" w:ascii="方正仿宋_GBK" w:hAnsi="方正仿宋_GBK" w:eastAsia="方正仿宋_GBK" w:cs="方正仿宋_GBK"/>
          <w:sz w:val="32"/>
          <w:szCs w:val="32"/>
        </w:rPr>
        <w:t>本省自开展生态环境损害赔偿制度改革试点以来，构建了较为完整的制度体系，出台了《关于贯彻落实生态环境损害赔偿管理规定的实施意见》及案件分类办理、类案参照等一系列配套文件，在全国范围内率先探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简易评估认定＋简易磋商＋简易修复效果评估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全流程简易办理程序，形成了一批典型案例。</w:t>
      </w:r>
      <w:r>
        <w:rPr>
          <w:rFonts w:hint="eastAsia" w:ascii="Times New Roman" w:hAnsi="Times New Roman" w:eastAsia="方正仿宋_GBK" w:cs="Times New Roman"/>
          <w:sz w:val="32"/>
          <w:szCs w:val="32"/>
          <w:highlight w:val="none"/>
          <w:lang w:val="en-US" w:eastAsia="zh-CN"/>
        </w:rPr>
        <w:t>“替代修复项目库双向匹配机制”等创新做法获生态环境部肯定并在全国推广，“分期赔付”“替代修复基地”等成熟经验被生态环境部吸纳入文件条款。通过地方立法对现有制度进行整合优化，将我省经过实践检验的成熟经验上升为地方性法规，既能够提升制度的权威性和可操作性，也能补齐制度效力层级不高、刚性约束不足的短板，适应改革发展的新要求。</w:t>
      </w:r>
    </w:p>
    <w:p w14:paraId="38ECBEE5">
      <w:pPr>
        <w:pStyle w:val="8"/>
        <w:keepNext w:val="0"/>
        <w:keepLines w:val="0"/>
        <w:pageBreakBefore w:val="0"/>
        <w:kinsoku/>
        <w:wordWrap/>
        <w:overflowPunct/>
        <w:topLinePunct w:val="0"/>
        <w:bidi w:val="0"/>
        <w:spacing w:line="580" w:lineRule="exact"/>
        <w:ind w:firstLine="640" w:firstLineChars="200"/>
        <w:textAlignment w:val="auto"/>
        <w:rPr>
          <w:rFonts w:ascii="方正黑体_GBK" w:hAnsi="Times New Roman" w:eastAsia="方正黑体_GBK" w:cs="Times New Roman"/>
          <w:bCs/>
          <w:color w:val="000000" w:themeColor="text1"/>
          <w:sz w:val="32"/>
          <w:szCs w:val="32"/>
          <w14:textFill>
            <w14:solidFill>
              <w14:schemeClr w14:val="tx1"/>
            </w14:solidFill>
          </w14:textFill>
        </w:rPr>
      </w:pPr>
      <w:r>
        <w:rPr>
          <w:rFonts w:hint="eastAsia" w:ascii="方正黑体_GBK" w:hAnsi="Times New Roman" w:eastAsia="方正黑体_GBK" w:cs="Times New Roman"/>
          <w:bCs/>
          <w:color w:val="000000" w:themeColor="text1"/>
          <w:sz w:val="32"/>
          <w:szCs w:val="32"/>
          <w14:textFill>
            <w14:solidFill>
              <w14:schemeClr w14:val="tx1"/>
            </w14:solidFill>
          </w14:textFill>
        </w:rPr>
        <w:t>二、起草过程</w:t>
      </w:r>
    </w:p>
    <w:p w14:paraId="217FAFA6">
      <w:pPr>
        <w:keepNext w:val="0"/>
        <w:keepLines w:val="0"/>
        <w:pageBreakBefore w:val="0"/>
        <w:kinsoku/>
        <w:wordWrap/>
        <w:overflowPunct/>
        <w:topLinePunct w:val="0"/>
        <w:bidi w:val="0"/>
        <w:adjustRightInd w:val="0"/>
        <w:snapToGrid w:val="0"/>
        <w:spacing w:line="580" w:lineRule="exact"/>
        <w:ind w:firstLine="640" w:firstLineChars="200"/>
        <w:textAlignment w:val="auto"/>
        <w:rPr>
          <w:rFonts w:hint="eastAsia" w:ascii="方正楷体_GBK" w:hAnsi="方正楷体_GBK" w:eastAsia="方正楷体_GBK" w:cs="方正楷体_GBK"/>
          <w:b w:val="0"/>
          <w:bCs w:val="0"/>
          <w:kern w:val="2"/>
          <w:sz w:val="32"/>
          <w:szCs w:val="32"/>
          <w:lang w:val="en-US" w:eastAsia="zh-CN" w:bidi="ar-SA"/>
        </w:rPr>
      </w:pPr>
      <w:r>
        <w:rPr>
          <w:rFonts w:ascii="Times New Roman" w:hAnsi="Times New Roman" w:eastAsia="方正仿宋_GBK" w:cs="Times New Roman"/>
          <w:sz w:val="32"/>
          <w:szCs w:val="32"/>
          <w14:ligatures w14:val="none"/>
        </w:rPr>
        <w:t>我厅高度重视</w:t>
      </w:r>
      <w:r>
        <w:rPr>
          <w:rFonts w:hint="eastAsia" w:ascii="Times New Roman" w:hAnsi="Times New Roman" w:eastAsia="方正仿宋_GBK" w:cs="Times New Roman"/>
          <w:sz w:val="32"/>
          <w:szCs w:val="32"/>
          <w:lang w:eastAsia="zh-CN"/>
          <w14:ligatures w14:val="none"/>
        </w:rPr>
        <w:t>《关于统筹推进生态环境损害赔偿的决定》（以下简称《决定》）</w:t>
      </w:r>
      <w:r>
        <w:rPr>
          <w:rFonts w:hint="eastAsia" w:ascii="Times New Roman" w:hAnsi="Times New Roman" w:eastAsia="方正仿宋_GBK" w:cs="Times New Roman"/>
          <w:sz w:val="32"/>
          <w:szCs w:val="32"/>
          <w:lang w:val="en-US" w:eastAsia="zh-CN"/>
          <w14:ligatures w14:val="none"/>
        </w:rPr>
        <w:t>起草</w:t>
      </w:r>
      <w:r>
        <w:rPr>
          <w:rFonts w:ascii="Times New Roman" w:hAnsi="Times New Roman" w:eastAsia="方正仿宋_GBK" w:cs="Times New Roman"/>
          <w:sz w:val="32"/>
          <w:szCs w:val="32"/>
          <w14:ligatures w14:val="none"/>
        </w:rPr>
        <w:t>工作，主要开展以下</w:t>
      </w:r>
      <w:r>
        <w:rPr>
          <w:rFonts w:hint="eastAsia" w:ascii="Times New Roman" w:hAnsi="Times New Roman" w:eastAsia="方正仿宋_GBK" w:cs="Times New Roman"/>
          <w:sz w:val="32"/>
          <w:szCs w:val="32"/>
          <w14:ligatures w14:val="none"/>
        </w:rPr>
        <w:t>六</w:t>
      </w:r>
      <w:r>
        <w:rPr>
          <w:rFonts w:ascii="Times New Roman" w:hAnsi="Times New Roman" w:eastAsia="方正仿宋_GBK" w:cs="Times New Roman"/>
          <w:sz w:val="32"/>
          <w:szCs w:val="32"/>
          <w14:ligatures w14:val="none"/>
        </w:rPr>
        <w:t>项工作：</w:t>
      </w:r>
      <w:r>
        <w:rPr>
          <w:rFonts w:hint="eastAsia" w:ascii="方正楷体_GBK" w:hAnsi="方正楷体_GBK" w:eastAsia="方正楷体_GBK" w:cs="方正楷体_GBK"/>
          <w:b w:val="0"/>
          <w:bCs w:val="0"/>
          <w:kern w:val="2"/>
          <w:sz w:val="32"/>
          <w:szCs w:val="32"/>
          <w:lang w:val="en-US" w:eastAsia="zh-CN" w:bidi="ar-SA"/>
        </w:rPr>
        <w:t>一是法规政策分析，</w:t>
      </w:r>
      <w:r>
        <w:rPr>
          <w:rFonts w:hint="eastAsia" w:ascii="Times New Roman" w:hAnsi="Times New Roman" w:eastAsia="方正仿宋_GBK" w:cs="Times New Roman"/>
          <w:sz w:val="32"/>
          <w:szCs w:val="32"/>
          <w:lang w:val="en-US" w:eastAsia="zh-CN"/>
          <w14:ligatures w14:val="none"/>
        </w:rPr>
        <w:t>将《决定》与</w:t>
      </w:r>
      <w:r>
        <w:rPr>
          <w:rFonts w:hint="eastAsia" w:ascii="Times New Roman" w:hAnsi="Times New Roman" w:eastAsia="方正仿宋_GBK" w:cs="Times New Roman"/>
          <w:sz w:val="32"/>
          <w:szCs w:val="32"/>
          <w14:ligatures w14:val="none"/>
        </w:rPr>
        <w:t>最新出台的法规政策以及《生态环境法典》进行对比，</w:t>
      </w:r>
      <w:r>
        <w:rPr>
          <w:rFonts w:hint="eastAsia" w:ascii="Times New Roman" w:hAnsi="Times New Roman" w:eastAsia="方正仿宋_GBK" w:cs="Times New Roman"/>
          <w:sz w:val="32"/>
          <w:szCs w:val="32"/>
          <w:lang w:val="en-US" w:eastAsia="zh-CN"/>
          <w14:ligatures w14:val="none"/>
        </w:rPr>
        <w:t>分析《决定》与宏观政策的一致性。</w:t>
      </w:r>
      <w:r>
        <w:rPr>
          <w:rFonts w:hint="eastAsia" w:ascii="方正楷体_GBK" w:hAnsi="方正楷体_GBK" w:eastAsia="方正楷体_GBK" w:cs="方正楷体_GBK"/>
          <w:b w:val="0"/>
          <w:bCs w:val="0"/>
          <w:kern w:val="2"/>
          <w:sz w:val="32"/>
          <w:szCs w:val="32"/>
          <w:lang w:val="en-US" w:eastAsia="zh-CN" w:bidi="ar-SA"/>
        </w:rPr>
        <w:t>二是完成立法前评估。</w:t>
      </w:r>
      <w:r>
        <w:rPr>
          <w:rFonts w:ascii="Times New Roman" w:hAnsi="Times New Roman" w:eastAsia="方正仿宋_GBK" w:cs="Times New Roman"/>
          <w:sz w:val="32"/>
          <w:szCs w:val="32"/>
          <w14:ligatures w14:val="none"/>
        </w:rPr>
        <w:t>从</w:t>
      </w:r>
      <w:r>
        <w:rPr>
          <w:rFonts w:hint="eastAsia" w:ascii="Times New Roman" w:hAnsi="Times New Roman" w:eastAsia="方正仿宋_GBK" w:cs="Times New Roman"/>
          <w:sz w:val="32"/>
          <w:szCs w:val="32"/>
          <w:lang w:eastAsia="zh-CN"/>
          <w14:ligatures w14:val="none"/>
        </w:rPr>
        <w:t>《决定》立法思路和法规政策变化以及《决定》的必要性、合法性、可行性、经济与社会效益等方面开展全面评估，形成立法前评估报告，借鉴了立法可行性报告的结构和内容，确保了评估的全面性和深入性。</w:t>
      </w:r>
      <w:r>
        <w:rPr>
          <w:rFonts w:hint="eastAsia" w:ascii="方正楷体_GBK" w:hAnsi="方正楷体_GBK" w:eastAsia="方正楷体_GBK" w:cs="方正楷体_GBK"/>
          <w:b w:val="0"/>
          <w:bCs w:val="0"/>
          <w:kern w:val="2"/>
          <w:sz w:val="32"/>
          <w:szCs w:val="32"/>
          <w:lang w:val="en-US" w:eastAsia="zh-CN" w:bidi="ar-SA"/>
        </w:rPr>
        <w:t>三是编制立法草案。</w:t>
      </w:r>
      <w:r>
        <w:rPr>
          <w:rFonts w:ascii="Times New Roman" w:hAnsi="Times New Roman" w:eastAsia="方正仿宋_GBK" w:cs="Times New Roman"/>
          <w:sz w:val="32"/>
          <w:szCs w:val="32"/>
          <w14:ligatures w14:val="none"/>
        </w:rPr>
        <w:t>草拟完成《</w:t>
      </w:r>
      <w:r>
        <w:rPr>
          <w:rFonts w:hint="eastAsia" w:ascii="Times New Roman" w:hAnsi="Times New Roman" w:eastAsia="方正仿宋_GBK" w:cs="Times New Roman"/>
          <w:sz w:val="32"/>
          <w:szCs w:val="32"/>
          <w:lang w:val="en-US" w:eastAsia="zh-CN"/>
          <w14:ligatures w14:val="none"/>
        </w:rPr>
        <w:t>决定</w:t>
      </w:r>
      <w:r>
        <w:rPr>
          <w:rFonts w:ascii="Times New Roman" w:hAnsi="Times New Roman" w:eastAsia="方正仿宋_GBK" w:cs="Times New Roman"/>
          <w:sz w:val="32"/>
          <w:szCs w:val="32"/>
          <w14:ligatures w14:val="none"/>
        </w:rPr>
        <w:t>》</w:t>
      </w:r>
      <w:r>
        <w:rPr>
          <w:rFonts w:hint="eastAsia" w:ascii="Times New Roman" w:hAnsi="Times New Roman" w:eastAsia="方正仿宋_GBK" w:cs="Times New Roman"/>
          <w:sz w:val="32"/>
          <w:szCs w:val="32"/>
          <w:lang w:val="en-US" w:eastAsia="zh-CN"/>
          <w14:ligatures w14:val="none"/>
        </w:rPr>
        <w:t>立法</w:t>
      </w:r>
      <w:r>
        <w:rPr>
          <w:rFonts w:ascii="Times New Roman" w:hAnsi="Times New Roman" w:eastAsia="方正仿宋_GBK" w:cs="Times New Roman"/>
          <w:sz w:val="32"/>
          <w:szCs w:val="32"/>
          <w14:ligatures w14:val="none"/>
        </w:rPr>
        <w:t>草案、立法对照表、</w:t>
      </w:r>
      <w:r>
        <w:rPr>
          <w:rFonts w:hint="eastAsia" w:ascii="Times New Roman" w:hAnsi="Times New Roman" w:eastAsia="方正仿宋_GBK" w:cs="Times New Roman"/>
          <w:sz w:val="32"/>
          <w:szCs w:val="32"/>
          <w:lang w:val="en-US" w:eastAsia="zh-CN"/>
          <w14:ligatures w14:val="none"/>
        </w:rPr>
        <w:t>起草</w:t>
      </w:r>
      <w:r>
        <w:rPr>
          <w:rFonts w:ascii="Times New Roman" w:hAnsi="Times New Roman" w:eastAsia="方正仿宋_GBK" w:cs="Times New Roman"/>
          <w:sz w:val="32"/>
          <w:szCs w:val="32"/>
          <w14:ligatures w14:val="none"/>
        </w:rPr>
        <w:t>说明等，对</w:t>
      </w:r>
      <w:r>
        <w:rPr>
          <w:rFonts w:hint="eastAsia" w:ascii="Times New Roman" w:hAnsi="Times New Roman" w:eastAsia="方正仿宋_GBK" w:cs="Times New Roman"/>
          <w:sz w:val="32"/>
          <w:szCs w:val="32"/>
          <w:lang w:val="en-US" w:eastAsia="zh-CN"/>
          <w14:ligatures w14:val="none"/>
        </w:rPr>
        <w:t>立法</w:t>
      </w:r>
      <w:r>
        <w:rPr>
          <w:rFonts w:ascii="Times New Roman" w:hAnsi="Times New Roman" w:eastAsia="方正仿宋_GBK" w:cs="Times New Roman"/>
          <w:sz w:val="32"/>
          <w:szCs w:val="32"/>
          <w14:ligatures w14:val="none"/>
        </w:rPr>
        <w:t>草案开展公平竞争审查。</w:t>
      </w:r>
      <w:r>
        <w:rPr>
          <w:rFonts w:hint="eastAsia" w:ascii="方正楷体_GBK" w:hAnsi="方正楷体_GBK" w:eastAsia="方正楷体_GBK" w:cs="方正楷体_GBK"/>
          <w:b w:val="0"/>
          <w:bCs w:val="0"/>
          <w:kern w:val="2"/>
          <w:sz w:val="32"/>
          <w:szCs w:val="32"/>
          <w:lang w:val="en-US" w:eastAsia="zh-CN" w:bidi="ar-SA"/>
        </w:rPr>
        <w:t>四是广泛征求意见。</w:t>
      </w:r>
      <w:r>
        <w:rPr>
          <w:rFonts w:ascii="Times New Roman" w:hAnsi="Times New Roman" w:eastAsia="方正仿宋_GBK" w:cs="Times New Roman"/>
          <w:sz w:val="32"/>
          <w:szCs w:val="32"/>
          <w14:ligatures w14:val="none"/>
        </w:rPr>
        <w:t>2025年</w:t>
      </w:r>
      <w:r>
        <w:rPr>
          <w:rFonts w:hint="eastAsia" w:ascii="Times New Roman" w:hAnsi="Times New Roman" w:eastAsia="方正仿宋_GBK" w:cs="Times New Roman"/>
          <w:sz w:val="32"/>
          <w:szCs w:val="32"/>
          <w:lang w:val="en-US" w:eastAsia="zh-CN"/>
          <w14:ligatures w14:val="none"/>
        </w:rPr>
        <w:t>8</w:t>
      </w:r>
      <w:r>
        <w:rPr>
          <w:rFonts w:ascii="Times New Roman" w:hAnsi="Times New Roman" w:eastAsia="方正仿宋_GBK" w:cs="Times New Roman"/>
          <w:sz w:val="32"/>
          <w:szCs w:val="32"/>
          <w14:ligatures w14:val="none"/>
        </w:rPr>
        <w:t>月，</w:t>
      </w:r>
      <w:r>
        <w:rPr>
          <w:rFonts w:hint="eastAsia" w:ascii="Times New Roman" w:hAnsi="Times New Roman" w:eastAsia="方正仿宋_GBK" w:cs="Times New Roman"/>
          <w:sz w:val="32"/>
          <w:szCs w:val="32"/>
          <w:lang w:val="en-US" w:eastAsia="zh-CN"/>
          <w14:ligatures w14:val="none"/>
        </w:rPr>
        <w:t>赴贵州省调研生态环境损害赔偿立法工作情况，</w:t>
      </w:r>
      <w:r>
        <w:rPr>
          <w:rFonts w:ascii="Times New Roman" w:hAnsi="Times New Roman" w:eastAsia="方正仿宋_GBK" w:cs="Times New Roman"/>
          <w:sz w:val="32"/>
          <w:szCs w:val="32"/>
          <w14:ligatures w14:val="none"/>
        </w:rPr>
        <w:t>征求《</w:t>
      </w:r>
      <w:r>
        <w:rPr>
          <w:rFonts w:hint="eastAsia" w:ascii="Times New Roman" w:hAnsi="Times New Roman" w:eastAsia="方正仿宋_GBK" w:cs="Times New Roman"/>
          <w:sz w:val="32"/>
          <w:szCs w:val="32"/>
          <w:lang w:val="en-US" w:eastAsia="zh-CN"/>
          <w14:ligatures w14:val="none"/>
        </w:rPr>
        <w:t>决定</w:t>
      </w:r>
      <w:r>
        <w:rPr>
          <w:rFonts w:ascii="Times New Roman" w:hAnsi="Times New Roman" w:eastAsia="方正仿宋_GBK" w:cs="Times New Roman"/>
          <w:sz w:val="32"/>
          <w:szCs w:val="32"/>
          <w14:ligatures w14:val="none"/>
        </w:rPr>
        <w:t>》</w:t>
      </w:r>
      <w:r>
        <w:rPr>
          <w:rFonts w:hint="eastAsia" w:ascii="Times New Roman" w:hAnsi="Times New Roman" w:eastAsia="方正仿宋_GBK" w:cs="Times New Roman"/>
          <w:sz w:val="32"/>
          <w:szCs w:val="32"/>
          <w:lang w:val="en-US" w:eastAsia="zh-CN"/>
          <w14:ligatures w14:val="none"/>
        </w:rPr>
        <w:t>起草</w:t>
      </w:r>
      <w:r>
        <w:rPr>
          <w:rFonts w:ascii="Times New Roman" w:hAnsi="Times New Roman" w:eastAsia="方正仿宋_GBK" w:cs="Times New Roman"/>
          <w:sz w:val="32"/>
          <w:szCs w:val="32"/>
          <w14:ligatures w14:val="none"/>
        </w:rPr>
        <w:t>意见。</w:t>
      </w:r>
      <w:r>
        <w:rPr>
          <w:rFonts w:hint="eastAsia" w:ascii="Times New Roman" w:hAnsi="Times New Roman" w:eastAsia="方正仿宋_GBK" w:cs="Times New Roman"/>
          <w:sz w:val="32"/>
          <w:szCs w:val="32"/>
          <w14:ligatures w14:val="none"/>
        </w:rPr>
        <w:t>2025年</w:t>
      </w:r>
      <w:r>
        <w:rPr>
          <w:rFonts w:hint="eastAsia" w:ascii="Times New Roman" w:hAnsi="Times New Roman" w:eastAsia="方正仿宋_GBK" w:cs="Times New Roman"/>
          <w:sz w:val="32"/>
          <w:szCs w:val="32"/>
          <w:lang w:val="en-US" w:eastAsia="zh-CN"/>
          <w14:ligatures w14:val="none"/>
        </w:rPr>
        <w:t>9</w:t>
      </w:r>
      <w:r>
        <w:rPr>
          <w:rFonts w:ascii="Times New Roman" w:hAnsi="Times New Roman" w:eastAsia="方正仿宋_GBK" w:cs="Times New Roman"/>
          <w:sz w:val="32"/>
          <w:szCs w:val="32"/>
          <w14:ligatures w14:val="none"/>
        </w:rPr>
        <w:t>月，省生态环境厅向无锡、苏州、</w:t>
      </w:r>
      <w:r>
        <w:rPr>
          <w:rFonts w:hint="eastAsia" w:ascii="Times New Roman" w:hAnsi="Times New Roman" w:eastAsia="方正仿宋_GBK" w:cs="Times New Roman"/>
          <w:sz w:val="32"/>
          <w:szCs w:val="32"/>
          <w:lang w:val="en-US" w:eastAsia="zh-CN"/>
          <w14:ligatures w14:val="none"/>
        </w:rPr>
        <w:t>南通等地</w:t>
      </w:r>
      <w:r>
        <w:rPr>
          <w:rFonts w:ascii="Times New Roman" w:hAnsi="Times New Roman" w:eastAsia="方正仿宋_GBK" w:cs="Times New Roman"/>
          <w:sz w:val="32"/>
          <w:szCs w:val="32"/>
          <w14:ligatures w14:val="none"/>
        </w:rPr>
        <w:t>征求《</w:t>
      </w:r>
      <w:r>
        <w:rPr>
          <w:rFonts w:hint="eastAsia" w:ascii="Times New Roman" w:hAnsi="Times New Roman" w:eastAsia="方正仿宋_GBK" w:cs="Times New Roman"/>
          <w:sz w:val="32"/>
          <w:szCs w:val="32"/>
          <w:lang w:val="en-US" w:eastAsia="zh-CN"/>
          <w14:ligatures w14:val="none"/>
        </w:rPr>
        <w:t>决定</w:t>
      </w:r>
      <w:r>
        <w:rPr>
          <w:rFonts w:ascii="Times New Roman" w:hAnsi="Times New Roman" w:eastAsia="方正仿宋_GBK" w:cs="Times New Roman"/>
          <w:sz w:val="32"/>
          <w:szCs w:val="32"/>
          <w14:ligatures w14:val="none"/>
        </w:rPr>
        <w:t>》修改建议。</w:t>
      </w:r>
      <w:r>
        <w:rPr>
          <w:rFonts w:hint="eastAsia" w:ascii="Times New Roman" w:hAnsi="Times New Roman" w:eastAsia="方正仿宋_GBK" w:cs="Times New Roman"/>
          <w:sz w:val="32"/>
          <w:szCs w:val="32"/>
          <w:lang w:val="en-US" w:eastAsia="zh-CN"/>
          <w14:ligatures w14:val="none"/>
        </w:rPr>
        <w:t>后续，我厅还将</w:t>
      </w:r>
      <w:r>
        <w:rPr>
          <w:rFonts w:ascii="Times New Roman" w:hAnsi="Times New Roman" w:eastAsia="方正仿宋_GBK" w:cs="Times New Roman"/>
          <w:sz w:val="32"/>
          <w:szCs w:val="32"/>
          <w14:ligatures w14:val="none"/>
        </w:rPr>
        <w:t>发函向省有关部门</w:t>
      </w:r>
      <w:r>
        <w:rPr>
          <w:rFonts w:hint="eastAsia" w:ascii="Times New Roman" w:hAnsi="Times New Roman" w:eastAsia="方正仿宋_GBK" w:cs="Times New Roman"/>
          <w:sz w:val="32"/>
          <w:szCs w:val="32"/>
          <w:lang w:val="en-US" w:eastAsia="zh-CN"/>
          <w14:ligatures w14:val="none"/>
        </w:rPr>
        <w:t>及其他地市征求</w:t>
      </w:r>
      <w:r>
        <w:rPr>
          <w:rFonts w:ascii="Times New Roman" w:hAnsi="Times New Roman" w:eastAsia="方正仿宋_GBK" w:cs="Times New Roman"/>
          <w:sz w:val="32"/>
          <w:szCs w:val="32"/>
          <w14:ligatures w14:val="none"/>
        </w:rPr>
        <w:t>《</w:t>
      </w:r>
      <w:r>
        <w:rPr>
          <w:rFonts w:hint="eastAsia" w:ascii="Times New Roman" w:hAnsi="Times New Roman" w:eastAsia="方正仿宋_GBK" w:cs="Times New Roman"/>
          <w:sz w:val="32"/>
          <w:szCs w:val="32"/>
          <w:lang w:val="en-US" w:eastAsia="zh-CN"/>
          <w14:ligatures w14:val="none"/>
        </w:rPr>
        <w:t>决定</w:t>
      </w:r>
      <w:r>
        <w:rPr>
          <w:rFonts w:ascii="Times New Roman" w:hAnsi="Times New Roman" w:eastAsia="方正仿宋_GBK" w:cs="Times New Roman"/>
          <w:sz w:val="32"/>
          <w:szCs w:val="32"/>
          <w14:ligatures w14:val="none"/>
        </w:rPr>
        <w:t>》修改建议</w:t>
      </w:r>
      <w:r>
        <w:rPr>
          <w:rFonts w:hint="eastAsia" w:ascii="Times New Roman" w:hAnsi="Times New Roman" w:eastAsia="方正仿宋_GBK" w:cs="Times New Roman"/>
          <w:sz w:val="32"/>
          <w:szCs w:val="32"/>
          <w:lang w:eastAsia="zh-CN"/>
          <w14:ligatures w14:val="none"/>
        </w:rPr>
        <w:t>。《</w:t>
      </w:r>
      <w:r>
        <w:rPr>
          <w:rFonts w:hint="eastAsia" w:ascii="Times New Roman" w:hAnsi="Times New Roman" w:eastAsia="方正仿宋_GBK" w:cs="Times New Roman"/>
          <w:sz w:val="32"/>
          <w:szCs w:val="32"/>
          <w:lang w:val="en-US" w:eastAsia="zh-CN"/>
          <w14:ligatures w14:val="none"/>
        </w:rPr>
        <w:t>决定</w:t>
      </w:r>
      <w:r>
        <w:rPr>
          <w:rFonts w:hint="eastAsia" w:ascii="Times New Roman" w:hAnsi="Times New Roman" w:eastAsia="方正仿宋_GBK" w:cs="Times New Roman"/>
          <w:sz w:val="32"/>
          <w:szCs w:val="32"/>
          <w:lang w:eastAsia="zh-CN"/>
          <w14:ligatures w14:val="none"/>
        </w:rPr>
        <w:t>》</w:t>
      </w:r>
      <w:r>
        <w:rPr>
          <w:rFonts w:hint="eastAsia" w:ascii="Times New Roman" w:hAnsi="Times New Roman" w:eastAsia="方正仿宋_GBK" w:cs="Times New Roman"/>
          <w:sz w:val="32"/>
          <w:szCs w:val="32"/>
          <w:lang w:val="en-US" w:eastAsia="zh-CN"/>
          <w14:ligatures w14:val="none"/>
        </w:rPr>
        <w:t>纳入2026年调研项目后，我厅持续开展调研工作，2026年8月制发立法专项调研问卷，面向全省征集立法需求和建议。</w:t>
      </w:r>
      <w:r>
        <w:rPr>
          <w:rFonts w:hint="eastAsia" w:ascii="方正楷体_GBK" w:hAnsi="方正楷体_GBK" w:eastAsia="方正楷体_GBK" w:cs="方正楷体_GBK"/>
          <w:b w:val="0"/>
          <w:bCs w:val="0"/>
          <w:kern w:val="2"/>
          <w:sz w:val="32"/>
          <w:szCs w:val="32"/>
          <w:lang w:val="en-US" w:eastAsia="zh-CN" w:bidi="ar-SA"/>
        </w:rPr>
        <w:t>五是开展咨询讨论。</w:t>
      </w:r>
      <w:r>
        <w:rPr>
          <w:rFonts w:hint="eastAsia" w:ascii="Times New Roman" w:hAnsi="Times New Roman" w:eastAsia="方正仿宋_GBK" w:cs="Times New Roman"/>
          <w:sz w:val="32"/>
          <w:szCs w:val="32"/>
          <w:lang w:val="en-US" w:eastAsia="zh-CN"/>
          <w14:ligatures w14:val="none"/>
        </w:rPr>
        <w:t>我厅拟组织相关专家召开《决定》立法论证会，逐条分析研究调研反馈的意见建议，并就《决定》条文、存在问题、修改思路及内容进行论证。</w:t>
      </w:r>
    </w:p>
    <w:p w14:paraId="3D75D436">
      <w:pPr>
        <w:keepNext w:val="0"/>
        <w:keepLines w:val="0"/>
        <w:pageBreakBefore w:val="0"/>
        <w:numPr>
          <w:ilvl w:val="0"/>
          <w:numId w:val="1"/>
        </w:numPr>
        <w:kinsoku/>
        <w:wordWrap/>
        <w:overflowPunct/>
        <w:topLinePunct w:val="0"/>
        <w:bidi w:val="0"/>
        <w:adjustRightInd w:val="0"/>
        <w:snapToGrid w:val="0"/>
        <w:spacing w:line="580" w:lineRule="exact"/>
        <w:ind w:firstLine="640" w:firstLineChars="200"/>
        <w:textAlignment w:val="auto"/>
        <w:rPr>
          <w:rFonts w:hint="eastAsia" w:ascii="方正黑体_GBK" w:hAnsi="Times New Roman" w:eastAsia="方正黑体_GBK" w:cs="Times New Roman"/>
          <w:bCs/>
          <w:color w:val="000000" w:themeColor="text1"/>
          <w:kern w:val="2"/>
          <w:sz w:val="32"/>
          <w:szCs w:val="32"/>
          <w:lang w:val="en-US" w:eastAsia="zh-CN" w:bidi="ar-SA"/>
          <w14:textFill>
            <w14:solidFill>
              <w14:schemeClr w14:val="tx1"/>
            </w14:solidFill>
          </w14:textFill>
        </w:rPr>
      </w:pPr>
      <w:r>
        <w:rPr>
          <w:rFonts w:hint="eastAsia" w:ascii="方正黑体_GBK" w:hAnsi="Times New Roman" w:eastAsia="方正黑体_GBK" w:cs="Times New Roman"/>
          <w:bCs/>
          <w:color w:val="000000" w:themeColor="text1"/>
          <w:kern w:val="2"/>
          <w:sz w:val="32"/>
          <w:szCs w:val="32"/>
          <w:lang w:val="en-US" w:eastAsia="zh-CN" w:bidi="ar-SA"/>
          <w14:textFill>
            <w14:solidFill>
              <w14:schemeClr w14:val="tx1"/>
            </w14:solidFill>
          </w14:textFill>
        </w:rPr>
        <w:t>《决定》草案主要内容</w:t>
      </w:r>
    </w:p>
    <w:p w14:paraId="2219D877">
      <w:pPr>
        <w:keepNext w:val="0"/>
        <w:keepLines w:val="0"/>
        <w:pageBreakBefore w:val="0"/>
        <w:kinsoku/>
        <w:wordWrap/>
        <w:overflowPunct/>
        <w:topLinePunct w:val="0"/>
        <w:bidi w:val="0"/>
        <w:adjustRightInd w:val="0"/>
        <w:snapToGrid w:val="0"/>
        <w:spacing w:line="580" w:lineRule="exact"/>
        <w:ind w:firstLine="640" w:firstLineChars="200"/>
        <w:textAlignment w:val="auto"/>
        <w:rPr>
          <w:rFonts w:hint="eastAsia" w:ascii="Times New Roman" w:hAnsi="Times New Roman" w:eastAsia="方正仿宋_GBK" w:cs="Times New Roman"/>
          <w:sz w:val="32"/>
          <w:szCs w:val="32"/>
          <w:lang w:val="en-US" w:eastAsia="zh-CN"/>
          <w14:ligatures w14:val="none"/>
        </w:rPr>
      </w:pPr>
      <w:r>
        <w:rPr>
          <w:rFonts w:hint="eastAsia" w:ascii="Times New Roman" w:hAnsi="Times New Roman" w:eastAsia="方正仿宋_GBK" w:cs="Times New Roman"/>
          <w:sz w:val="32"/>
          <w:szCs w:val="32"/>
          <w:lang w:val="en-US" w:eastAsia="zh-CN"/>
          <w14:ligatures w14:val="none"/>
        </w:rPr>
        <w:t>《决定》草案共十九条，主要内容如下：</w:t>
      </w:r>
    </w:p>
    <w:p w14:paraId="136D2FA7">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（一）明确适用范围和工作原则。</w:t>
      </w:r>
    </w:p>
    <w:p w14:paraId="491A164E">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决定</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规定本省行政区域内污染环境、破坏生态给国家、社会公共利益造成损失的，适用本决定；本省管辖海域污染海洋环境、破坏海洋生态给国家造成损失的，由依法行使海洋生态环境监督管理权的部门参照执行，实现陆海统筹。确立坚持党的领导、贯彻习近平生态文明思想，依法推进、鼓励创新，环境有价、损害担责，主动磋商、司法保障，信息共享、公众监督的原则。</w:t>
      </w:r>
    </w:p>
    <w:p w14:paraId="643E54E9">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明确赔偿权利人和部门职责。省、设区的市人民政府为赔偿权利人，可以指定有关部门或机构负责具体工作；县（市、区）、乡镇政府、街道办事处、开发区管理委员会可以接受委托协助开展工作。明确生态环境、自然资源、住房城乡建设、交通运输、水行政、农业农村、林业、海事和海警等部门和机构按职责分工办理，生态环境部门发挥牵头指导作用，司法行政部门负责诉讼及相关法制保障，建立会商交流、线索移送、信息共享、联合办理等工作机制。</w:t>
      </w:r>
    </w:p>
    <w:p w14:paraId="0B71AAF3">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规范案件办理流程。规定赔偿工作包括线索筛查、损害调查、鉴定评估、赔偿磋商、修复监督和效果评估等内容。对应当开展线索筛查的十一类情形作了具体列举，涵盖大气、水体、土壤污染，森林资源、野生动物资源、矿产资源、农用地、地下水资源、河道、湿地、海洋生态环境等损害类型。</w:t>
      </w:r>
    </w:p>
    <w:p w14:paraId="74C4C4D5">
      <w:pPr>
        <w:keepNext w:val="0"/>
        <w:keepLines w:val="0"/>
        <w:pageBreakBefore w:val="0"/>
        <w:numPr>
          <w:ilvl w:val="0"/>
          <w:numId w:val="0"/>
        </w:numPr>
        <w:kinsoku/>
        <w:wordWrap/>
        <w:overflowPunct/>
        <w:topLinePunct w:val="0"/>
        <w:bidi w:val="0"/>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w:t>
      </w:r>
      <w:r>
        <w:rPr>
          <w:rFonts w:hint="eastAsia" w:ascii="Times New Roman" w:hAnsi="Times New Roman" w:eastAsia="方正仿宋_GBK" w:cs="Times New Roman"/>
          <w:sz w:val="32"/>
          <w:szCs w:val="32"/>
          <w:lang w:val="en-US" w:eastAsia="zh-CN"/>
          <w14:ligatures w14:val="none"/>
        </w:rPr>
        <w:t>强化行刑衔接</w:t>
      </w:r>
      <w:r>
        <w:rPr>
          <w:rFonts w:hint="eastAsia" w:ascii="方正仿宋_GBK" w:hAnsi="方正仿宋_GBK" w:eastAsia="方正仿宋_GBK" w:cs="方正仿宋_GBK"/>
          <w:color w:val="auto"/>
          <w:sz w:val="32"/>
          <w:szCs w:val="32"/>
          <w:lang w:val="en-US" w:eastAsia="zh-CN" w:bidi="ar-SA"/>
        </w:rPr>
        <w:t>工作要求</w:t>
      </w:r>
      <w:r>
        <w:rPr>
          <w:rFonts w:hint="eastAsia" w:ascii="方正仿宋_GBK" w:hAnsi="方正仿宋_GBK" w:eastAsia="方正仿宋_GBK" w:cs="方正仿宋_GBK"/>
          <w:sz w:val="32"/>
          <w:szCs w:val="32"/>
        </w:rPr>
        <w:t>。</w:t>
      </w:r>
      <w:r>
        <w:rPr>
          <w:rFonts w:ascii="Times New Roman" w:hAnsi="Times New Roman" w:eastAsia="方正仿宋_GBK" w:cs="Times New Roman"/>
          <w:sz w:val="32"/>
          <w:szCs w:val="32"/>
          <w14:ligatures w14:val="none"/>
        </w:rPr>
        <w:t>《</w:t>
      </w:r>
      <w:r>
        <w:rPr>
          <w:rFonts w:hint="eastAsia" w:ascii="Times New Roman" w:hAnsi="Times New Roman" w:eastAsia="方正仿宋_GBK" w:cs="Times New Roman"/>
          <w:sz w:val="32"/>
          <w:szCs w:val="32"/>
          <w:lang w:val="en-US" w:eastAsia="zh-CN"/>
          <w14:ligatures w14:val="none"/>
        </w:rPr>
        <w:t>决定</w:t>
      </w:r>
      <w:r>
        <w:rPr>
          <w:rFonts w:ascii="Times New Roman" w:hAnsi="Times New Roman" w:eastAsia="方正仿宋_GBK" w:cs="Times New Roman"/>
          <w:sz w:val="32"/>
          <w:szCs w:val="32"/>
          <w14:ligatures w14:val="none"/>
        </w:rPr>
        <w:t>》</w:t>
      </w:r>
      <w:r>
        <w:rPr>
          <w:rFonts w:hint="eastAsia" w:ascii="方正仿宋_GBK" w:hAnsi="方正仿宋_GBK" w:eastAsia="方正仿宋_GBK" w:cs="方正仿宋_GBK"/>
          <w:color w:val="auto"/>
          <w:sz w:val="32"/>
          <w:szCs w:val="32"/>
          <w:lang w:val="en-US" w:eastAsia="zh-CN" w:bidi="ar-SA"/>
        </w:rPr>
        <w:t>明确在生态环境损害事件调查处理中实行生态环境损害赔偿与行政处罚“一案双查”，充分考虑与公益诉讼、刑事处罚的全流程多层次配合衔接，凝聚更强法治合力共同破解“企业污染、群众受害、政府买单”的困境。</w:t>
      </w:r>
    </w:p>
    <w:p w14:paraId="4238FF90">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方正仿宋_GBK" w:cs="Times New Roman"/>
          <w:sz w:val="32"/>
          <w:szCs w:val="32"/>
          <w:lang w:val="en-US" w:eastAsia="zh-CN"/>
          <w14:ligatures w14:val="none"/>
        </w:rPr>
      </w:pPr>
      <w:r>
        <w:rPr>
          <w:rFonts w:hint="eastAsia" w:ascii="方正仿宋_GBK" w:hAnsi="方正仿宋_GBK" w:eastAsia="方正仿宋_GBK" w:cs="方正仿宋_GBK"/>
          <w:sz w:val="32"/>
          <w:szCs w:val="32"/>
        </w:rPr>
        <w:t>（五）</w:t>
      </w:r>
      <w:r>
        <w:rPr>
          <w:rFonts w:hint="eastAsia" w:ascii="方正仿宋_GBK" w:hAnsi="方正仿宋_GBK" w:eastAsia="方正仿宋_GBK" w:cs="方正仿宋_GBK"/>
          <w:sz w:val="32"/>
          <w:szCs w:val="32"/>
          <w:lang w:val="en-US" w:eastAsia="zh-CN"/>
        </w:rPr>
        <w:t>细化</w:t>
      </w:r>
      <w:r>
        <w:rPr>
          <w:rFonts w:hint="eastAsia" w:ascii="方正仿宋_GBK" w:hAnsi="方正仿宋_GBK" w:eastAsia="方正仿宋_GBK" w:cs="方正仿宋_GBK"/>
          <w:sz w:val="32"/>
          <w:szCs w:val="32"/>
        </w:rPr>
        <w:t>案件分类办理机制。</w:t>
      </w:r>
      <w:r>
        <w:rPr>
          <w:rFonts w:hint="eastAsia" w:ascii="Times New Roman" w:hAnsi="Times New Roman" w:eastAsia="方正仿宋_GBK" w:cs="Times New Roman"/>
          <w:sz w:val="32"/>
          <w:szCs w:val="32"/>
          <w:lang w:eastAsia="zh-CN"/>
          <w14:ligatures w14:val="none"/>
        </w:rPr>
        <w:t>《决定》</w:t>
      </w:r>
      <w:r>
        <w:rPr>
          <w:rFonts w:hint="eastAsia" w:ascii="Times New Roman" w:hAnsi="Times New Roman" w:eastAsia="方正仿宋_GBK" w:cs="Times New Roman"/>
          <w:sz w:val="32"/>
          <w:szCs w:val="32"/>
          <w:lang w:val="en-US" w:eastAsia="zh-CN"/>
          <w14:ligatures w14:val="none"/>
        </w:rPr>
        <w:t>吸纳江苏案件分类办理成熟经验，将重大、简单、显著轻微案件写入地方性法规，明确不同类型案件分别适用相应的办理程序，案件分类标准。针对重大案件建立报告督办机制，强化对重大案件办理全过程的指导监督，确保案件办理质量和进度。</w:t>
      </w:r>
    </w:p>
    <w:p w14:paraId="1A99FE50">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（六）规定简易程序。经赔偿义务人同意，简单案件可以适用简易评估认定、简易磋商和简易修复效果评估程序，降低办理成本、提高办理效率。</w:t>
      </w:r>
    </w:p>
    <w:p w14:paraId="51BE2FCD">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确立修复优先和多元修复制度。明确生态环境损害可以修复的，由赔偿义务人自行修复或委托第三方修复，鼓励先行采取控制措施防止损害扩大；无法修复的，可以开展补植复绿、增殖放流、认购碳汇等替代修复，探索生态产品价值核算结果应用，允许以公益宣传、志愿服务等劳务方式承担责任。支持建设综合性替代修复区域和项目库，探索赔偿资金提存公证制度。</w:t>
      </w:r>
    </w:p>
    <w:p w14:paraId="42A119B1">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强化修复监督和资金管理。规定诉讼案件修复的组织实施、修复效果评估及修复不达标的继续修复或补缴责任；明确赔偿资金作为政府非税收入纳入一般公共预算管理，并细化了资金主要用于的五类支出范围。</w:t>
      </w:r>
    </w:p>
    <w:p w14:paraId="13292F60">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九）加强检察衔接和公众参与。明确与检察公益诉讼在线索移送、磋商诉讼、生态修复、信息共享等方面的衔接，检察机关可以通过检察建议、行政公益诉讼开展法律监督；拓宽人大代表、政协委员、社会组织、社区居民代表等参与索赔磋商、诉讼和修复监督的渠道。推动长三角区域制度创新和共建共享。</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800002BF" w:usb1="38C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79AB77"/>
    <w:multiLevelType w:val="singleLevel"/>
    <w:tmpl w:val="1879AB7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01152B"/>
    <w:rsid w:val="12277F28"/>
    <w:rsid w:val="150D43F1"/>
    <w:rsid w:val="16070E41"/>
    <w:rsid w:val="25B07665"/>
    <w:rsid w:val="2B774228"/>
    <w:rsid w:val="549C03CB"/>
    <w:rsid w:val="72011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unhideWhenUsed/>
    <w:qFormat/>
    <w:uiPriority w:val="99"/>
    <w:pPr>
      <w:spacing w:after="120"/>
    </w:pPr>
  </w:style>
  <w:style w:type="character" w:styleId="6">
    <w:name w:val="Strong"/>
    <w:basedOn w:val="5"/>
    <w:qFormat/>
    <w:uiPriority w:val="0"/>
    <w:rPr>
      <w:b/>
    </w:rPr>
  </w:style>
  <w:style w:type="paragraph" w:customStyle="1" w:styleId="7">
    <w:name w:val="图标题"/>
    <w:basedOn w:val="2"/>
    <w:qFormat/>
    <w:uiPriority w:val="0"/>
    <w:pPr>
      <w:spacing w:after="50" w:afterLines="50" w:line="520" w:lineRule="exact"/>
      <w:jc w:val="center"/>
    </w:pPr>
    <w:rPr>
      <w:rFonts w:hint="eastAsia" w:ascii="Times New Roman" w:hAnsi="Times New Roman" w:eastAsia="仿宋_GB2312" w:cs="Times New Roman"/>
      <w:bCs/>
      <w:sz w:val="28"/>
      <w:szCs w:val="28"/>
    </w:rPr>
  </w:style>
  <w:style w:type="paragraph" w:customStyle="1" w:styleId="8">
    <w:name w:val="be358f00-9758-446e-aec5-cde8345aeef3"/>
    <w:basedOn w:val="3"/>
    <w:qFormat/>
    <w:uiPriority w:val="0"/>
    <w:pPr>
      <w:adjustRightInd w:val="0"/>
      <w:spacing w:after="0" w:line="288" w:lineRule="auto"/>
      <w:ind w:firstLine="440"/>
      <w:jc w:val="left"/>
    </w:pPr>
    <w:rPr>
      <w:rFonts w:ascii="微软雅黑" w:hAnsi="微软雅黑" w:eastAsia="微软雅黑"/>
      <w:color w:val="000000"/>
      <w:sz w:val="2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2998</Words>
  <Characters>3010</Characters>
  <Lines>0</Lines>
  <Paragraphs>0</Paragraphs>
  <TotalTime>2</TotalTime>
  <ScaleCrop>false</ScaleCrop>
  <LinksUpToDate>false</LinksUpToDate>
  <CharactersWithSpaces>3012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2026-09-09T06:20:00Z</dcterms:created>
  <dc:creator>darry</dc:creator>
  <cp:lastModifiedBy>xx</cp:lastModifiedBy>
  <dcterms:modified xsi:type="dcterms:W3CDTF">2026-09-11T09:34:26Z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F6E3BE9E4A75472485860675CEF16479_13</vt:lpwstr>
  </property>
  <property fmtid="{D5CDD505-2E9C-101B-9397-08002B2CF9AE}" pid="4" name="KSOTemplateDocerSaveRecord">
    <vt:lpwstr>eyJoZGlkIjoiY2VjNDhmOWM0NWMxMjNmOWQ0NWQ3MTkzYTU1ZjI1MmQiLCJ1c2VySWQiOiIyODg4MjUzNjAifQ==</vt:lpwstr>
  </property>
</Properties>
</file>