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156E" w:rsidRPr="001B156E" w:rsidRDefault="001B156E" w:rsidP="001B156E">
      <w:pPr>
        <w:widowControl/>
        <w:shd w:val="clear" w:color="auto" w:fill="FFFFFF"/>
        <w:jc w:val="center"/>
        <w:rPr>
          <w:rFonts w:ascii="Microsoft YaHei UI" w:eastAsia="Microsoft YaHei UI" w:hAnsi="Microsoft YaHei UI" w:cs="宋体"/>
          <w:color w:val="333333"/>
          <w:spacing w:val="8"/>
          <w:kern w:val="0"/>
          <w:sz w:val="26"/>
          <w:szCs w:val="26"/>
        </w:rPr>
      </w:pPr>
      <w:bookmarkStart w:id="0" w:name="_GoBack"/>
      <w:r w:rsidRPr="001B156E">
        <w:rPr>
          <w:rFonts w:ascii="Microsoft YaHei UI" w:eastAsia="Microsoft YaHei UI" w:hAnsi="Microsoft YaHei UI" w:cs="宋体"/>
          <w:noProof/>
          <w:color w:val="333333"/>
          <w:spacing w:val="8"/>
          <w:kern w:val="0"/>
          <w:sz w:val="26"/>
          <w:szCs w:val="26"/>
        </w:rPr>
        <mc:AlternateContent>
          <mc:Choice Requires="wps">
            <w:drawing>
              <wp:inline distT="0" distB="0" distL="0" distR="0" wp14:anchorId="38B4BE19" wp14:editId="08ED93D6">
                <wp:extent cx="6087533" cy="1083310"/>
                <wp:effectExtent l="0" t="0" r="0" b="2540"/>
                <wp:docPr id="1" name="AutoShape 1" descr="data:image/gif;base64,iVBORw0KGgoAAAANSUhEUgAAAAEAAAABCAYAAAAfFcSJAAAADUlEQVQImWNgYGBgAAAABQABh6FO1AAAAABJRU5ErkJgg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087533" cy="1083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156E" w:rsidRPr="001B156E" w:rsidRDefault="001B156E" w:rsidP="001B156E">
                            <w:pPr>
                              <w:widowControl/>
                              <w:shd w:val="clear" w:color="auto" w:fill="FFFFFF"/>
                              <w:spacing w:after="210"/>
                              <w:jc w:val="left"/>
                              <w:outlineLvl w:val="0"/>
                              <w:rPr>
                                <w:rFonts w:ascii="Microsoft YaHei UI" w:eastAsia="Microsoft YaHei UI" w:hAnsi="Microsoft YaHei UI" w:cs="宋体"/>
                                <w:b/>
                                <w:bCs/>
                                <w:color w:val="333333"/>
                                <w:spacing w:val="8"/>
                                <w:kern w:val="36"/>
                                <w:sz w:val="33"/>
                                <w:szCs w:val="33"/>
                              </w:rPr>
                            </w:pPr>
                            <w:r w:rsidRPr="001B156E">
                              <w:rPr>
                                <w:rFonts w:ascii="Microsoft YaHei UI" w:eastAsia="Microsoft YaHei UI" w:hAnsi="Microsoft YaHei UI" w:cs="宋体" w:hint="eastAsia"/>
                                <w:b/>
                                <w:bCs/>
                                <w:color w:val="333333"/>
                                <w:spacing w:val="8"/>
                                <w:kern w:val="36"/>
                                <w:sz w:val="33"/>
                                <w:szCs w:val="33"/>
                              </w:rPr>
                              <w:t>今天！《江苏省生态环境行政处罚裁量基准规定》 9月1日起正式施行</w:t>
                            </w:r>
                          </w:p>
                          <w:p w:rsidR="001B156E" w:rsidRPr="001B156E" w:rsidRDefault="001B156E" w:rsidP="001B156E">
                            <w:pPr>
                              <w:jc w:val="center"/>
                            </w:pPr>
                          </w:p>
                        </w:txbxContent>
                      </wps:txbx>
                      <wps:bodyPr rot="0" vert="horz" wrap="square" lIns="91440" tIns="45720" rIns="91440" bIns="45720" anchor="t" anchorCtr="0" upright="1">
                        <a:noAutofit/>
                      </wps:bodyPr>
                    </wps:wsp>
                  </a:graphicData>
                </a:graphic>
              </wp:inline>
            </w:drawing>
          </mc:Choice>
          <mc:Fallback>
            <w:pict>
              <v:rect id="AutoShape 1" o:spid="_x0000_s1026" alt="说明: data:image/gif;base64,iVBORw0KGgoAAAANSUhEUgAAAAEAAAABCAYAAAAfFcSJAAAADUlEQVQImWNgYGBgAAAABQABh6FO1AAAAABJRU5ErkJggg==" style="width:479.35pt;height:85.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" filled="f" stroked="f">
                <o:lock v:ext="edit" aspectratio="t"/>
                <v:textbox>
                  <w:txbxContent>
                    <w:p w:rsidR="001B156E" w:rsidRPr="001B156E" w:rsidRDefault="001B156E" w:rsidP="001B156E">
                      <w:pPr>
                        <w:widowControl/>
                        <w:shd w:val="clear" w:color="auto" w:fill="FFFFFF"/>
                        <w:spacing w:after="210"/>
                        <w:jc w:val="left"/>
                        <w:outlineLvl w:val="0"/>
                        <w:rPr>
                          <w:rFonts w:ascii="Microsoft YaHei UI" w:eastAsia="Microsoft YaHei UI" w:hAnsi="Microsoft YaHei UI" w:cs="宋体"/>
                          <w:b/>
                          <w:bCs/>
                          <w:color w:val="333333"/>
                          <w:spacing w:val="8"/>
                          <w:kern w:val="36"/>
                          <w:sz w:val="33"/>
                          <w:szCs w:val="33"/>
                        </w:rPr>
                      </w:pPr>
                      <w:r w:rsidRPr="001B156E">
                        <w:rPr>
                          <w:rFonts w:ascii="Microsoft YaHei UI" w:eastAsia="Microsoft YaHei UI" w:hAnsi="Microsoft YaHei UI" w:cs="宋体" w:hint="eastAsia"/>
                          <w:b/>
                          <w:bCs/>
                          <w:color w:val="333333"/>
                          <w:spacing w:val="8"/>
                          <w:kern w:val="36"/>
                          <w:sz w:val="33"/>
                          <w:szCs w:val="33"/>
                        </w:rPr>
                        <w:t>今天！《江苏省生态环境行政处罚裁量基准规定》 9月1日起正式施行</w:t>
                      </w:r>
                    </w:p>
                    <w:p w:rsidR="001B156E" w:rsidRPr="001B156E" w:rsidRDefault="001B156E" w:rsidP="001B156E">
                      <w:pPr>
                        <w:jc w:val="center"/>
                      </w:pPr>
                    </w:p>
                  </w:txbxContent>
                </v:textbox>
                <w10:anchorlock/>
              </v:rect>
            </w:pict>
          </mc:Fallback>
        </mc:AlternateContent>
      </w:r>
      <w:bookmarkEnd w:id="0"/>
    </w:p>
    <w:p w:rsidR="001B156E" w:rsidRPr="001B156E" w:rsidRDefault="001B156E" w:rsidP="001B156E">
      <w:pPr>
        <w:widowControl/>
        <w:spacing w:line="420" w:lineRule="atLeast"/>
        <w:jc w:val="left"/>
        <w:rPr>
          <w:rFonts w:ascii="宋体" w:eastAsia="宋体" w:hAnsi="宋体" w:cs="宋体" w:hint="eastAsia"/>
          <w:kern w:val="0"/>
          <w:sz w:val="24"/>
          <w:szCs w:val="24"/>
        </w:rPr>
      </w:pPr>
      <w:r w:rsidRPr="001B156E">
        <w:rPr>
          <w:rFonts w:ascii="宋体" w:eastAsia="宋体" w:hAnsi="宋体" w:cs="宋体"/>
          <w:color w:val="262626"/>
          <w:kern w:val="0"/>
          <w:sz w:val="26"/>
          <w:szCs w:val="26"/>
        </w:rPr>
        <w:t>为推进依法行政，进一步规范生态环境行政处罚裁量权的行使，贯彻落实生态环境部《关于进一步规范适用环境行政处罚自由裁量权的指导意见》（</w:t>
      </w:r>
      <w:proofErr w:type="gramStart"/>
      <w:r w:rsidRPr="001B156E">
        <w:rPr>
          <w:rFonts w:ascii="宋体" w:eastAsia="宋体" w:hAnsi="宋体" w:cs="宋体"/>
          <w:color w:val="262626"/>
          <w:kern w:val="0"/>
          <w:sz w:val="26"/>
          <w:szCs w:val="26"/>
        </w:rPr>
        <w:t>环执法</w:t>
      </w:r>
      <w:proofErr w:type="gramEnd"/>
      <w:r w:rsidRPr="001B156E">
        <w:rPr>
          <w:rFonts w:ascii="宋体" w:eastAsia="宋体" w:hAnsi="宋体" w:cs="宋体"/>
          <w:color w:val="262626"/>
          <w:kern w:val="0"/>
          <w:sz w:val="26"/>
          <w:szCs w:val="26"/>
        </w:rPr>
        <w:t>〔2019〕42号），着力推动长三角区域生态环境执法统一，依据《中华人民共和国行政处罚法》《环境行政处罚办法》等法律法规，江苏省生态环境厅制定印发了《江苏省生态环境行政处罚裁量基准规定》（以下简称《基准规定》），本规定于2020年9月1日起正式施行。</w:t>
      </w:r>
    </w:p>
    <w:p w:rsidR="001B156E" w:rsidRPr="001B156E" w:rsidRDefault="001B156E" w:rsidP="001B156E">
      <w:pPr>
        <w:widowControl/>
        <w:spacing w:line="420" w:lineRule="atLeast"/>
        <w:jc w:val="left"/>
        <w:rPr>
          <w:rFonts w:ascii="宋体" w:eastAsia="宋体" w:hAnsi="宋体" w:cs="宋体"/>
          <w:spacing w:val="23"/>
          <w:kern w:val="0"/>
          <w:sz w:val="24"/>
          <w:szCs w:val="24"/>
        </w:rPr>
      </w:pPr>
    </w:p>
    <w:p w:rsidR="001B156E" w:rsidRPr="001B156E" w:rsidRDefault="001B156E" w:rsidP="001B156E">
      <w:pPr>
        <w:widowControl/>
        <w:jc w:val="left"/>
        <w:rPr>
          <w:rFonts w:ascii="宋体" w:eastAsia="宋体" w:hAnsi="宋体" w:cs="宋体"/>
          <w:kern w:val="0"/>
          <w:sz w:val="24"/>
          <w:szCs w:val="24"/>
        </w:rPr>
      </w:pPr>
      <w:r w:rsidRPr="001B156E">
        <w:rPr>
          <w:rFonts w:ascii="宋体" w:eastAsia="宋体" w:hAnsi="宋体" w:cs="宋体"/>
          <w:b/>
          <w:bCs/>
          <w:color w:val="262626"/>
          <w:kern w:val="0"/>
          <w:sz w:val="27"/>
          <w:szCs w:val="27"/>
        </w:rPr>
        <w:t>一、制定《基准规定》的意义</w:t>
      </w:r>
      <w:r w:rsidRPr="001B156E">
        <w:rPr>
          <w:rFonts w:ascii="宋体" w:eastAsia="宋体" w:hAnsi="宋体" w:cs="宋体"/>
          <w:kern w:val="0"/>
          <w:sz w:val="24"/>
          <w:szCs w:val="24"/>
        </w:rPr>
        <w:br/>
      </w:r>
      <w:r w:rsidRPr="001B156E">
        <w:rPr>
          <w:rFonts w:ascii="宋体" w:eastAsia="宋体" w:hAnsi="宋体" w:cs="宋体"/>
          <w:b/>
          <w:bCs/>
          <w:color w:val="262626"/>
          <w:kern w:val="0"/>
          <w:sz w:val="26"/>
          <w:szCs w:val="26"/>
        </w:rPr>
        <w:t>（一）执法一把</w:t>
      </w:r>
      <w:proofErr w:type="gramStart"/>
      <w:r w:rsidRPr="001B156E">
        <w:rPr>
          <w:rFonts w:ascii="宋体" w:eastAsia="宋体" w:hAnsi="宋体" w:cs="宋体"/>
          <w:b/>
          <w:bCs/>
          <w:color w:val="262626"/>
          <w:kern w:val="0"/>
          <w:sz w:val="26"/>
          <w:szCs w:val="26"/>
        </w:rPr>
        <w:t>尺</w:t>
      </w:r>
      <w:proofErr w:type="gramEnd"/>
    </w:p>
    <w:p w:rsidR="001B156E" w:rsidRPr="001B156E" w:rsidRDefault="001B156E" w:rsidP="001B156E">
      <w:pPr>
        <w:widowControl/>
        <w:spacing w:line="420" w:lineRule="atLeast"/>
        <w:jc w:val="left"/>
        <w:rPr>
          <w:rFonts w:ascii="宋体" w:eastAsia="宋体" w:hAnsi="宋体" w:cs="宋体"/>
          <w:kern w:val="0"/>
          <w:sz w:val="24"/>
          <w:szCs w:val="24"/>
        </w:rPr>
      </w:pPr>
      <w:r w:rsidRPr="001B156E">
        <w:rPr>
          <w:rFonts w:ascii="宋体" w:eastAsia="宋体" w:hAnsi="宋体" w:cs="宋体"/>
          <w:color w:val="262626"/>
          <w:kern w:val="0"/>
          <w:sz w:val="26"/>
          <w:szCs w:val="26"/>
        </w:rPr>
        <w:t>生态环境行政处罚表面是罚多罚少的问题，内核是公平问题。统一执法标准带来的优势显而易见：规范市场环境，压缩弹性空间，避免乱执法等。《裁量基准》的出台，也让跨界执法不仅形式上统一，执法尺度也一致。</w:t>
      </w:r>
    </w:p>
    <w:p w:rsidR="001B156E" w:rsidRPr="001B156E" w:rsidRDefault="001B156E" w:rsidP="001B156E">
      <w:pPr>
        <w:widowControl/>
        <w:jc w:val="left"/>
        <w:rPr>
          <w:rFonts w:ascii="宋体" w:eastAsia="宋体" w:hAnsi="宋体" w:cs="宋体"/>
          <w:kern w:val="0"/>
          <w:sz w:val="24"/>
          <w:szCs w:val="24"/>
        </w:rPr>
      </w:pPr>
      <w:r w:rsidRPr="001B156E">
        <w:rPr>
          <w:rFonts w:ascii="宋体" w:eastAsia="宋体" w:hAnsi="宋体" w:cs="宋体"/>
          <w:kern w:val="0"/>
          <w:sz w:val="24"/>
          <w:szCs w:val="24"/>
        </w:rPr>
        <w:br/>
      </w:r>
      <w:r w:rsidRPr="001B156E">
        <w:rPr>
          <w:rFonts w:ascii="Helvetica" w:eastAsia="宋体" w:hAnsi="Helvetica" w:cs="Helvetica"/>
          <w:b/>
          <w:bCs/>
          <w:color w:val="262626"/>
          <w:kern w:val="0"/>
          <w:sz w:val="26"/>
          <w:szCs w:val="26"/>
        </w:rPr>
        <w:t>（二）制度化创新破题点</w:t>
      </w:r>
    </w:p>
    <w:p w:rsidR="001B156E" w:rsidRPr="001B156E" w:rsidRDefault="001B156E" w:rsidP="001B156E">
      <w:pPr>
        <w:widowControl/>
        <w:spacing w:line="420" w:lineRule="atLeast"/>
        <w:jc w:val="left"/>
        <w:rPr>
          <w:rFonts w:ascii="宋体" w:eastAsia="宋体" w:hAnsi="宋体" w:cs="宋体"/>
          <w:kern w:val="0"/>
          <w:sz w:val="24"/>
          <w:szCs w:val="24"/>
        </w:rPr>
      </w:pPr>
      <w:r w:rsidRPr="001B156E">
        <w:rPr>
          <w:rFonts w:ascii="宋体" w:eastAsia="宋体" w:hAnsi="宋体" w:cs="宋体"/>
          <w:color w:val="262626"/>
          <w:kern w:val="0"/>
          <w:sz w:val="26"/>
          <w:szCs w:val="26"/>
        </w:rPr>
        <w:t>为贯彻落实《长江三角洲区域一体化发展规划纲要》和《长三角生态绿色一体化发展示范区总体方案》的要求，沪苏浙皖同步开展统一标准的生态环境行政处罚裁量基准的制（修）订，有利于推动形成统一规范的长三角区域生态环境执法监督体系。</w:t>
      </w:r>
    </w:p>
    <w:p w:rsidR="001B156E" w:rsidRPr="001B156E" w:rsidRDefault="001B156E" w:rsidP="001B156E">
      <w:pPr>
        <w:widowControl/>
        <w:jc w:val="left"/>
        <w:rPr>
          <w:rFonts w:ascii="宋体" w:eastAsia="宋体" w:hAnsi="宋体" w:cs="宋体"/>
          <w:kern w:val="0"/>
          <w:sz w:val="24"/>
          <w:szCs w:val="24"/>
        </w:rPr>
      </w:pPr>
      <w:r w:rsidRPr="001B156E">
        <w:rPr>
          <w:rFonts w:ascii="宋体" w:eastAsia="宋体" w:hAnsi="宋体" w:cs="宋体"/>
          <w:kern w:val="0"/>
          <w:sz w:val="24"/>
          <w:szCs w:val="24"/>
        </w:rPr>
        <w:br/>
      </w:r>
      <w:r w:rsidRPr="001B156E">
        <w:rPr>
          <w:rFonts w:ascii="Helvetica" w:eastAsia="宋体" w:hAnsi="Helvetica" w:cs="Helvetica"/>
          <w:b/>
          <w:bCs/>
          <w:color w:val="262626"/>
          <w:kern w:val="0"/>
          <w:sz w:val="26"/>
          <w:szCs w:val="26"/>
        </w:rPr>
        <w:t>（三）响应形势号角声</w:t>
      </w:r>
    </w:p>
    <w:p w:rsidR="001B156E" w:rsidRPr="001B156E" w:rsidRDefault="001B156E" w:rsidP="001B156E">
      <w:pPr>
        <w:widowControl/>
        <w:spacing w:line="420" w:lineRule="atLeast"/>
        <w:jc w:val="left"/>
        <w:rPr>
          <w:rFonts w:ascii="宋体" w:eastAsia="宋体" w:hAnsi="宋体" w:cs="宋体"/>
          <w:kern w:val="0"/>
          <w:sz w:val="24"/>
          <w:szCs w:val="24"/>
        </w:rPr>
      </w:pPr>
      <w:r w:rsidRPr="001B156E">
        <w:rPr>
          <w:rFonts w:ascii="宋体" w:eastAsia="宋体" w:hAnsi="宋体" w:cs="宋体"/>
          <w:color w:val="262626"/>
          <w:kern w:val="0"/>
          <w:sz w:val="26"/>
          <w:szCs w:val="26"/>
        </w:rPr>
        <w:lastRenderedPageBreak/>
        <w:t>近年来生态环境保护法律法规不断调整完善，处罚金额上限大幅度提高，行政处罚裁量范围扩大，对生态环境执法人员裁量权的行使提出了更高要求，需要根据相关法律法规的变化，及时修改完善生态环境行政处罚裁量基准，为执法人员提供明确的执法指引和规范。规范行政执法裁量权的行使，也有利于激发市场活力，优化营商环境。</w:t>
      </w:r>
    </w:p>
    <w:p w:rsidR="001B156E" w:rsidRPr="001B156E" w:rsidRDefault="001B156E" w:rsidP="001B156E">
      <w:pPr>
        <w:widowControl/>
        <w:spacing w:line="420" w:lineRule="atLeast"/>
        <w:jc w:val="left"/>
        <w:rPr>
          <w:rFonts w:ascii="宋体" w:eastAsia="宋体" w:hAnsi="宋体" w:cs="宋体"/>
          <w:spacing w:val="23"/>
          <w:kern w:val="0"/>
          <w:sz w:val="24"/>
          <w:szCs w:val="24"/>
        </w:rPr>
      </w:pPr>
    </w:p>
    <w:p w:rsidR="001B156E" w:rsidRPr="001B156E" w:rsidRDefault="001B156E" w:rsidP="001B156E">
      <w:pPr>
        <w:widowControl/>
        <w:jc w:val="left"/>
        <w:rPr>
          <w:rFonts w:ascii="宋体" w:eastAsia="宋体" w:hAnsi="宋体" w:cs="宋体"/>
          <w:kern w:val="0"/>
          <w:sz w:val="24"/>
          <w:szCs w:val="24"/>
        </w:rPr>
      </w:pPr>
      <w:r w:rsidRPr="001B156E">
        <w:rPr>
          <w:rFonts w:ascii="宋体" w:eastAsia="宋体" w:hAnsi="宋体" w:cs="宋体"/>
          <w:b/>
          <w:bCs/>
          <w:color w:val="262626"/>
          <w:kern w:val="0"/>
          <w:sz w:val="27"/>
          <w:szCs w:val="27"/>
        </w:rPr>
        <w:t>二、《基准规定》正式施行后请全省各级生态环境部门遵照执行</w:t>
      </w:r>
    </w:p>
    <w:p w:rsidR="001B156E" w:rsidRPr="001B156E" w:rsidRDefault="001B156E" w:rsidP="001B156E">
      <w:pPr>
        <w:widowControl/>
        <w:spacing w:before="450" w:line="420" w:lineRule="atLeast"/>
        <w:jc w:val="left"/>
        <w:rPr>
          <w:rFonts w:ascii="宋体" w:eastAsia="宋体" w:hAnsi="宋体" w:cs="宋体"/>
          <w:spacing w:val="23"/>
          <w:kern w:val="0"/>
          <w:sz w:val="24"/>
          <w:szCs w:val="24"/>
        </w:rPr>
      </w:pPr>
      <w:r w:rsidRPr="001B156E">
        <w:rPr>
          <w:rFonts w:ascii="宋体" w:eastAsia="宋体" w:hAnsi="宋体" w:cs="宋体"/>
          <w:spacing w:val="23"/>
          <w:kern w:val="0"/>
          <w:sz w:val="24"/>
          <w:szCs w:val="24"/>
        </w:rPr>
        <w:t>江苏省生态环境行政处罚裁量基准规定适用于全省各级生态环境部门的行政处罚裁量。</w:t>
      </w:r>
    </w:p>
    <w:p w:rsidR="001B156E" w:rsidRPr="001B156E" w:rsidRDefault="001B156E" w:rsidP="001B156E">
      <w:pPr>
        <w:widowControl/>
        <w:spacing w:line="420" w:lineRule="atLeast"/>
        <w:jc w:val="left"/>
        <w:rPr>
          <w:rFonts w:ascii="宋体" w:eastAsia="宋体" w:hAnsi="宋体" w:cs="宋体"/>
          <w:spacing w:val="23"/>
          <w:kern w:val="0"/>
          <w:sz w:val="24"/>
          <w:szCs w:val="24"/>
        </w:rPr>
      </w:pPr>
    </w:p>
    <w:p w:rsidR="001B156E" w:rsidRPr="001B156E" w:rsidRDefault="001B156E" w:rsidP="001B156E">
      <w:pPr>
        <w:widowControl/>
        <w:jc w:val="left"/>
        <w:rPr>
          <w:rFonts w:ascii="宋体" w:eastAsia="宋体" w:hAnsi="宋体" w:cs="宋体"/>
          <w:kern w:val="0"/>
          <w:sz w:val="24"/>
          <w:szCs w:val="24"/>
        </w:rPr>
      </w:pPr>
      <w:r w:rsidRPr="001B156E">
        <w:rPr>
          <w:rFonts w:ascii="宋体" w:eastAsia="宋体" w:hAnsi="宋体" w:cs="宋体"/>
          <w:b/>
          <w:bCs/>
          <w:color w:val="262626"/>
          <w:kern w:val="0"/>
          <w:sz w:val="27"/>
          <w:szCs w:val="27"/>
        </w:rPr>
        <w:t>三、《基准规定》的主要内容</w:t>
      </w:r>
    </w:p>
    <w:p w:rsidR="001B156E" w:rsidRPr="001B156E" w:rsidRDefault="001B156E" w:rsidP="001B156E">
      <w:pPr>
        <w:widowControl/>
        <w:spacing w:before="450" w:line="420" w:lineRule="atLeast"/>
        <w:jc w:val="left"/>
        <w:rPr>
          <w:rFonts w:ascii="宋体" w:eastAsia="宋体" w:hAnsi="宋体" w:cs="宋体"/>
          <w:spacing w:val="23"/>
          <w:kern w:val="0"/>
          <w:sz w:val="24"/>
          <w:szCs w:val="24"/>
        </w:rPr>
      </w:pPr>
      <w:r w:rsidRPr="001B156E">
        <w:rPr>
          <w:rFonts w:ascii="宋体" w:eastAsia="宋体" w:hAnsi="宋体" w:cs="宋体"/>
          <w:spacing w:val="23"/>
          <w:kern w:val="0"/>
          <w:sz w:val="24"/>
          <w:szCs w:val="24"/>
        </w:rPr>
        <w:t>《基准规定》包括正文和附件两部分，正文共十七条，主要规定了裁量基准模式、裁量因素、裁量表种类、裁量步骤、监督检查等内容。附件为生态环境违法行为行政处罚</w:t>
      </w:r>
      <w:proofErr w:type="gramStart"/>
      <w:r w:rsidRPr="001B156E">
        <w:rPr>
          <w:rFonts w:ascii="宋体" w:eastAsia="宋体" w:hAnsi="宋体" w:cs="宋体"/>
          <w:spacing w:val="23"/>
          <w:kern w:val="0"/>
          <w:sz w:val="24"/>
          <w:szCs w:val="24"/>
        </w:rPr>
        <w:t>裁</w:t>
      </w:r>
      <w:proofErr w:type="gramEnd"/>
      <w:r w:rsidRPr="001B156E">
        <w:rPr>
          <w:rFonts w:ascii="宋体" w:eastAsia="宋体" w:hAnsi="宋体" w:cs="宋体"/>
          <w:spacing w:val="23"/>
          <w:kern w:val="0"/>
          <w:sz w:val="24"/>
          <w:szCs w:val="24"/>
        </w:rPr>
        <w:t>量表。</w:t>
      </w:r>
      <w:proofErr w:type="gramStart"/>
      <w:r w:rsidRPr="001B156E">
        <w:rPr>
          <w:rFonts w:ascii="宋体" w:eastAsia="宋体" w:hAnsi="宋体" w:cs="宋体"/>
          <w:spacing w:val="23"/>
          <w:kern w:val="0"/>
          <w:sz w:val="24"/>
          <w:szCs w:val="24"/>
        </w:rPr>
        <w:t>裁</w:t>
      </w:r>
      <w:proofErr w:type="gramEnd"/>
      <w:r w:rsidRPr="001B156E">
        <w:rPr>
          <w:rFonts w:ascii="宋体" w:eastAsia="宋体" w:hAnsi="宋体" w:cs="宋体"/>
          <w:spacing w:val="23"/>
          <w:kern w:val="0"/>
          <w:sz w:val="24"/>
          <w:szCs w:val="24"/>
        </w:rPr>
        <w:t>量表包括26张专用</w:t>
      </w:r>
      <w:proofErr w:type="gramStart"/>
      <w:r w:rsidRPr="001B156E">
        <w:rPr>
          <w:rFonts w:ascii="宋体" w:eastAsia="宋体" w:hAnsi="宋体" w:cs="宋体"/>
          <w:spacing w:val="23"/>
          <w:kern w:val="0"/>
          <w:sz w:val="24"/>
          <w:szCs w:val="24"/>
        </w:rPr>
        <w:t>裁</w:t>
      </w:r>
      <w:proofErr w:type="gramEnd"/>
      <w:r w:rsidRPr="001B156E">
        <w:rPr>
          <w:rFonts w:ascii="宋体" w:eastAsia="宋体" w:hAnsi="宋体" w:cs="宋体"/>
          <w:spacing w:val="23"/>
          <w:kern w:val="0"/>
          <w:sz w:val="24"/>
          <w:szCs w:val="24"/>
        </w:rPr>
        <w:t>量表和1张通用</w:t>
      </w:r>
      <w:proofErr w:type="gramStart"/>
      <w:r w:rsidRPr="001B156E">
        <w:rPr>
          <w:rFonts w:ascii="宋体" w:eastAsia="宋体" w:hAnsi="宋体" w:cs="宋体"/>
          <w:spacing w:val="23"/>
          <w:kern w:val="0"/>
          <w:sz w:val="24"/>
          <w:szCs w:val="24"/>
        </w:rPr>
        <w:t>裁</w:t>
      </w:r>
      <w:proofErr w:type="gramEnd"/>
      <w:r w:rsidRPr="001B156E">
        <w:rPr>
          <w:rFonts w:ascii="宋体" w:eastAsia="宋体" w:hAnsi="宋体" w:cs="宋体"/>
          <w:spacing w:val="23"/>
          <w:kern w:val="0"/>
          <w:sz w:val="24"/>
          <w:szCs w:val="24"/>
        </w:rPr>
        <w:t>量表。专用</w:t>
      </w:r>
      <w:proofErr w:type="gramStart"/>
      <w:r w:rsidRPr="001B156E">
        <w:rPr>
          <w:rFonts w:ascii="宋体" w:eastAsia="宋体" w:hAnsi="宋体" w:cs="宋体"/>
          <w:spacing w:val="23"/>
          <w:kern w:val="0"/>
          <w:sz w:val="24"/>
          <w:szCs w:val="24"/>
        </w:rPr>
        <w:t>裁</w:t>
      </w:r>
      <w:proofErr w:type="gramEnd"/>
      <w:r w:rsidRPr="001B156E">
        <w:rPr>
          <w:rFonts w:ascii="宋体" w:eastAsia="宋体" w:hAnsi="宋体" w:cs="宋体"/>
          <w:spacing w:val="23"/>
          <w:kern w:val="0"/>
          <w:sz w:val="24"/>
          <w:szCs w:val="24"/>
        </w:rPr>
        <w:t>量表分别针对违反环境影响评价制度、建设项目“三同时”制度、环境保护排污许可管理制度、现场检查规定、通过逃避监管的方式排放污染物、违反大气污染防治管理制度、水污染防治管理制度、危险废物管理制度、土壤污染防治管理制度、辐射安全管理制度、环境监测管理制度、第三方机构及违法责任人员的违法行为，做到常见环境违法行为全覆盖，基本覆盖本省历年环境行政处罚违法行为类型。</w:t>
      </w:r>
    </w:p>
    <w:p w:rsidR="001B156E" w:rsidRPr="001B156E" w:rsidRDefault="001B156E" w:rsidP="001B156E">
      <w:pPr>
        <w:widowControl/>
        <w:spacing w:line="420" w:lineRule="atLeast"/>
        <w:jc w:val="left"/>
        <w:rPr>
          <w:rFonts w:ascii="宋体" w:eastAsia="宋体" w:hAnsi="宋体" w:cs="宋体"/>
          <w:spacing w:val="23"/>
          <w:kern w:val="0"/>
          <w:sz w:val="24"/>
          <w:szCs w:val="24"/>
        </w:rPr>
      </w:pPr>
    </w:p>
    <w:p w:rsidR="001B156E" w:rsidRPr="001B156E" w:rsidRDefault="001B156E" w:rsidP="001B156E">
      <w:pPr>
        <w:widowControl/>
        <w:jc w:val="left"/>
        <w:rPr>
          <w:rFonts w:ascii="宋体" w:eastAsia="宋体" w:hAnsi="宋体" w:cs="宋体"/>
          <w:kern w:val="0"/>
          <w:sz w:val="24"/>
          <w:szCs w:val="24"/>
        </w:rPr>
      </w:pPr>
      <w:r w:rsidRPr="001B156E">
        <w:rPr>
          <w:rFonts w:ascii="宋体" w:eastAsia="宋体" w:hAnsi="宋体" w:cs="宋体"/>
          <w:b/>
          <w:bCs/>
          <w:color w:val="262626"/>
          <w:kern w:val="0"/>
          <w:sz w:val="27"/>
          <w:szCs w:val="27"/>
        </w:rPr>
        <w:t>四、我省各地经济发展水平、产业和规模存在差异在裁量中予以体现</w:t>
      </w:r>
    </w:p>
    <w:p w:rsidR="001B156E" w:rsidRPr="001B156E" w:rsidRDefault="001B156E" w:rsidP="001B156E">
      <w:pPr>
        <w:widowControl/>
        <w:spacing w:before="450" w:line="420" w:lineRule="atLeast"/>
        <w:jc w:val="left"/>
        <w:rPr>
          <w:rFonts w:ascii="宋体" w:eastAsia="宋体" w:hAnsi="宋体" w:cs="宋体"/>
          <w:spacing w:val="23"/>
          <w:kern w:val="0"/>
          <w:sz w:val="24"/>
          <w:szCs w:val="24"/>
        </w:rPr>
      </w:pPr>
      <w:r w:rsidRPr="001B156E">
        <w:rPr>
          <w:rFonts w:ascii="宋体" w:eastAsia="宋体" w:hAnsi="宋体" w:cs="宋体"/>
          <w:spacing w:val="23"/>
          <w:kern w:val="0"/>
          <w:sz w:val="24"/>
          <w:szCs w:val="24"/>
        </w:rPr>
        <w:t>《基准规定》第八条规定了允许设区的市结合经济发展水平、产业及规模等实际，在裁量表确定的基础上调整（增加或减少）罚款金额，调整幅度（增加或减少的金额）为法定最高罚款数额的10%以</w:t>
      </w:r>
      <w:r w:rsidRPr="001B156E">
        <w:rPr>
          <w:rFonts w:ascii="宋体" w:eastAsia="宋体" w:hAnsi="宋体" w:cs="宋体"/>
          <w:spacing w:val="23"/>
          <w:kern w:val="0"/>
          <w:sz w:val="24"/>
          <w:szCs w:val="24"/>
        </w:rPr>
        <w:lastRenderedPageBreak/>
        <w:t>内，调整后的金额不得低于或者高于法定罚款数额。</w:t>
      </w:r>
      <w:proofErr w:type="gramStart"/>
      <w:r w:rsidRPr="001B156E">
        <w:rPr>
          <w:rFonts w:ascii="宋体" w:eastAsia="宋体" w:hAnsi="宋体" w:cs="宋体"/>
          <w:spacing w:val="23"/>
          <w:kern w:val="0"/>
          <w:sz w:val="24"/>
          <w:szCs w:val="24"/>
        </w:rPr>
        <w:t>作出</w:t>
      </w:r>
      <w:proofErr w:type="gramEnd"/>
      <w:r w:rsidRPr="001B156E">
        <w:rPr>
          <w:rFonts w:ascii="宋体" w:eastAsia="宋体" w:hAnsi="宋体" w:cs="宋体"/>
          <w:spacing w:val="23"/>
          <w:kern w:val="0"/>
          <w:sz w:val="24"/>
          <w:szCs w:val="24"/>
        </w:rPr>
        <w:t>相应调整的规定应当报省级生态环境部门备案。</w:t>
      </w:r>
    </w:p>
    <w:p w:rsidR="001B156E" w:rsidRPr="001B156E" w:rsidRDefault="001B156E" w:rsidP="001B156E">
      <w:pPr>
        <w:widowControl/>
        <w:spacing w:line="420" w:lineRule="atLeast"/>
        <w:jc w:val="left"/>
        <w:rPr>
          <w:rFonts w:ascii="宋体" w:eastAsia="宋体" w:hAnsi="宋体" w:cs="宋体"/>
          <w:spacing w:val="23"/>
          <w:kern w:val="0"/>
          <w:sz w:val="24"/>
          <w:szCs w:val="24"/>
        </w:rPr>
      </w:pPr>
    </w:p>
    <w:p w:rsidR="001B156E" w:rsidRPr="001B156E" w:rsidRDefault="001B156E" w:rsidP="001B156E">
      <w:pPr>
        <w:widowControl/>
        <w:jc w:val="left"/>
        <w:rPr>
          <w:rFonts w:ascii="宋体" w:eastAsia="宋体" w:hAnsi="宋体" w:cs="宋体"/>
          <w:kern w:val="0"/>
          <w:sz w:val="24"/>
          <w:szCs w:val="24"/>
        </w:rPr>
      </w:pPr>
      <w:r w:rsidRPr="001B156E">
        <w:rPr>
          <w:rFonts w:ascii="宋体" w:eastAsia="宋体" w:hAnsi="宋体" w:cs="宋体"/>
          <w:b/>
          <w:bCs/>
          <w:color w:val="262626"/>
          <w:kern w:val="0"/>
          <w:sz w:val="27"/>
          <w:szCs w:val="27"/>
        </w:rPr>
        <w:t>五、《基准规定》施行的期待与展望</w:t>
      </w:r>
    </w:p>
    <w:p w:rsidR="001B156E" w:rsidRPr="001B156E" w:rsidRDefault="001B156E" w:rsidP="001B156E">
      <w:pPr>
        <w:widowControl/>
        <w:spacing w:before="450" w:line="420" w:lineRule="atLeast"/>
        <w:jc w:val="left"/>
        <w:rPr>
          <w:rFonts w:ascii="宋体" w:eastAsia="宋体" w:hAnsi="宋体" w:cs="宋体"/>
          <w:spacing w:val="23"/>
          <w:kern w:val="0"/>
          <w:sz w:val="24"/>
          <w:szCs w:val="24"/>
        </w:rPr>
      </w:pPr>
      <w:r w:rsidRPr="001B156E">
        <w:rPr>
          <w:rFonts w:ascii="宋体" w:eastAsia="宋体" w:hAnsi="宋体" w:cs="宋体"/>
          <w:spacing w:val="23"/>
          <w:kern w:val="0"/>
          <w:sz w:val="24"/>
          <w:szCs w:val="24"/>
        </w:rPr>
        <w:t>执法标准统一后，三省一市就能在行政处罚上给出相对一致意见。但要真正打破行政壁垒，推动区域环境治理一体化，仅</w:t>
      </w:r>
      <w:proofErr w:type="gramStart"/>
      <w:r w:rsidRPr="001B156E">
        <w:rPr>
          <w:rFonts w:ascii="宋体" w:eastAsia="宋体" w:hAnsi="宋体" w:cs="宋体"/>
          <w:spacing w:val="23"/>
          <w:kern w:val="0"/>
          <w:sz w:val="24"/>
          <w:szCs w:val="24"/>
        </w:rPr>
        <w:t>靠统一</w:t>
      </w:r>
      <w:proofErr w:type="gramEnd"/>
      <w:r w:rsidRPr="001B156E">
        <w:rPr>
          <w:rFonts w:ascii="宋体" w:eastAsia="宋体" w:hAnsi="宋体" w:cs="宋体"/>
          <w:spacing w:val="23"/>
          <w:kern w:val="0"/>
          <w:sz w:val="24"/>
          <w:szCs w:val="24"/>
        </w:rPr>
        <w:t>执法还不够。实施统一的《裁量基准》，是用“一把尺子”加强生态环境的执法监管。今后还要形成“一套标准”规范生态环境保护工作，“一张网”和“一个平台”监测评估区域生态环境状况，让区域联防联治效果更强，环境监管的通道开得更宽。</w:t>
      </w:r>
    </w:p>
    <w:p w:rsidR="00A35007" w:rsidRPr="001B156E" w:rsidRDefault="00A35007"/>
    <w:sectPr w:rsidR="00A35007" w:rsidRPr="001B156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16E"/>
    <w:rsid w:val="001B156E"/>
    <w:rsid w:val="006D116E"/>
    <w:rsid w:val="00A350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5575900">
      <w:bodyDiv w:val="1"/>
      <w:marLeft w:val="0"/>
      <w:marRight w:val="0"/>
      <w:marTop w:val="0"/>
      <w:marBottom w:val="0"/>
      <w:divBdr>
        <w:top w:val="none" w:sz="0" w:space="0" w:color="auto"/>
        <w:left w:val="none" w:sz="0" w:space="0" w:color="auto"/>
        <w:bottom w:val="none" w:sz="0" w:space="0" w:color="auto"/>
        <w:right w:val="none" w:sz="0" w:space="0" w:color="auto"/>
      </w:divBdr>
    </w:div>
    <w:div w:id="1859150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197</Words>
  <Characters>1124</Characters>
  <Application>Microsoft Office Word</Application>
  <DocSecurity>0</DocSecurity>
  <Lines>9</Lines>
  <Paragraphs>2</Paragraphs>
  <ScaleCrop>false</ScaleCrop>
  <Company/>
  <LinksUpToDate>false</LinksUpToDate>
  <CharactersWithSpaces>1319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2021-11-18T08:57:00Z</dcterms:created>
  <dcterms:modified xsi:type="dcterms:W3CDTF">2021-11-18T09:02:00Z</dcterms:modified>
</cp:coreProperties>
</file>