
<file path=[Content_Types].xml><?xml version="1.0" encoding="utf-8"?>
<Types xmlns="http://schemas.openxmlformats.org/package/2006/content-types">
  <Default Extension="xml" ContentType="application/xml"/>
  <Default Extension="png" ContentType="image/png"/>
  <Default Extension="tiff" ContentType="image/tiff"/>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framePr w:wrap="notBeside" w:vAnchor="page" w:hAnchor="page" w:x="1372" w:y="568"/>
        <w:rPr>
          <w:rFonts w:hint="eastAsia" w:ascii="Times New Roman" w:hAnsi="Times New Roman" w:eastAsia="方正黑体_GBK"/>
          <w:sz w:val="32"/>
          <w:szCs w:val="32"/>
          <w:lang w:eastAsia="zh-CN"/>
        </w:rPr>
      </w:pPr>
      <w:r>
        <w:rPr>
          <w:rFonts w:ascii="Times New Roman" w:hAnsi="Times New Roman" w:eastAsia="方正黑体_GBK"/>
          <w:sz w:val="32"/>
          <w:szCs w:val="32"/>
        </w:rPr>
        <w:t>附件</w:t>
      </w:r>
      <w:r>
        <w:rPr>
          <w:rFonts w:hint="eastAsia" w:ascii="Times New Roman" w:hAnsi="Times New Roman" w:eastAsia="方正黑体_GBK"/>
          <w:sz w:val="32"/>
          <w:szCs w:val="32"/>
          <w:lang w:val="en-US" w:eastAsia="zh-CN"/>
        </w:rPr>
        <w:t>1</w:t>
      </w:r>
      <w:bookmarkStart w:id="138" w:name="_GoBack"/>
      <w:bookmarkEnd w:id="138"/>
    </w:p>
    <w:p>
      <w:pPr>
        <w:framePr w:wrap="notBeside" w:vAnchor="page" w:hAnchor="page" w:x="1372" w:y="568"/>
      </w:pPr>
    </w:p>
    <w:tbl>
      <w:tblPr>
        <w:tblStyle w:val="30"/>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20"/>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pPr>
              <w:pStyle w:val="20"/>
              <w:framePr w:wrap="notBeside" w:vAnchor="page" w:hAnchor="page" w:x="1372" w:y="568"/>
              <w:tabs>
                <w:tab w:val="clear" w:pos="4153"/>
                <w:tab w:val="clear" w:pos="8306"/>
              </w:tabs>
              <w:spacing w:line="240" w:lineRule="auto"/>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 xml:space="preserve">13.060.01 </w:t>
            </w:r>
            <w:r>
              <w:rPr>
                <w:rFonts w:ascii="黑体" w:hAnsi="黑体" w:eastAsia="黑体"/>
                <w:sz w:val="21"/>
                <w:szCs w:val="21"/>
              </w:rPr>
              <w:fldChar w:fldCharType="end"/>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20"/>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pPr>
              <w:pStyle w:val="20"/>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Z 10</w:t>
            </w:r>
            <w:r>
              <w:rPr>
                <w:rFonts w:ascii="黑体" w:hAnsi="黑体" w:eastAsia="黑体"/>
                <w:sz w:val="21"/>
                <w:szCs w:val="21"/>
              </w:rPr>
              <w:fldChar w:fldCharType="end"/>
            </w:r>
            <w:bookmarkEnd w:id="1"/>
          </w:p>
        </w:tc>
      </w:tr>
    </w:tbl>
    <w:tbl>
      <w:tblPr>
        <w:tblStyle w:val="30"/>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pPr>
              <w:pStyle w:val="53"/>
              <w:framePr w:w="0" w:hRule="auto" w:wrap="auto" w:vAnchor="margin" w:hAnchor="text" w:xAlign="left" w:yAlign="inline"/>
              <w:rPr>
                <w:rFonts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true"/>
                          </pic:cNvPicPr>
                        </pic:nvPicPr>
                        <pic:blipFill>
                          <a:blip r:embed="rId40" cstate="print">
                            <a:extLst>
                              <a:ext uri="{28A0092B-C50C-407E-A947-70E740481C1C}">
                                <a14:useLocalDpi xmlns:a14="http://schemas.microsoft.com/office/drawing/2010/main" val="false"/>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t>32</w:t>
            </w:r>
            <w:r>
              <w:fldChar w:fldCharType="end"/>
            </w:r>
            <w:bookmarkEnd w:id="3"/>
          </w:p>
        </w:tc>
      </w:tr>
    </w:tbl>
    <w:p>
      <w:pPr>
        <w:pStyle w:val="54"/>
        <w:framePr w:w="9639" w:h="624" w:hRule="exact" w:hSpace="181" w:vSpace="181" w:hAnchor="page" w:x="1305" w:y="2269"/>
        <w:rPr>
          <w:rFonts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江苏省</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pPr>
        <w:pStyle w:val="199"/>
        <w:framePr/>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lang w:val="fr-FR"/>
        </w:rPr>
        <w:t>32/T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pPr>
        <w:pStyle w:val="200"/>
        <w:framePr/>
        <w:rPr>
          <w:rFonts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60288"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true"/>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60288;mso-width-relative:page;mso-height-relative:page;" filled="f" stroked="t" coordsize="21600,21600" o:allowoverlap="f" o:gfxdata="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WAAAAZHJzL1BLAQIUABQAAAAIAIdO4kAng0mW2AAAAAwB&#10;AAAPAAAAAAAAAAEAIAAAADgAAABkcnMvZG93bnJldi54bWxQSwECFAAUAAAACACHTuJASfTgWswB&#10;AABhAwAADgAAAAAAAAABACAAAAA9AQAAZHJzL2Uyb0RvYy54bWxQSwUGAAAAAAYABgBZAQAAewUA&#10;AAAA&#10;">
                <v:fill on="f" focussize="0,0"/>
                <v:stroke color="#000000" joinstyle="round"/>
                <v:imagedata o:title=""/>
                <o:lock v:ext="edit" aspectratio="f"/>
              </v:line>
            </w:pict>
          </mc:Fallback>
        </mc:AlternateContent>
      </w:r>
    </w:p>
    <w:p>
      <w:pPr>
        <w:pStyle w:val="54"/>
        <w:framePr w:w="9639" w:h="6976" w:hRule="exact" w:hSpace="0" w:vSpace="0" w:hAnchor="page" w:y="6408"/>
        <w:jc w:val="center"/>
        <w:rPr>
          <w:rFonts w:ascii="黑体" w:hAnsi="黑体" w:eastAsia="黑体"/>
          <w:b w:val="0"/>
          <w:bCs w:val="0"/>
          <w:w w:val="100"/>
        </w:rPr>
      </w:pPr>
    </w:p>
    <w:p>
      <w:pPr>
        <w:pStyle w:val="201"/>
        <w:framePr w:h="6974" w:hRule="exact" w:wrap="around" w:x="1419" w:anchorLock="1"/>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rPr>
        <w:t>高光谱近感地表水环境参数反演技术规范</w:t>
      </w:r>
      <w:r>
        <w:fldChar w:fldCharType="end"/>
      </w:r>
      <w:bookmarkEnd w:id="9"/>
    </w:p>
    <w:p>
      <w:pPr>
        <w:framePr w:w="9639" w:h="6974" w:hRule="exact" w:wrap="around" w:vAnchor="page" w:hAnchor="page" w:x="1419" w:y="6408" w:anchorLock="1"/>
      </w:pPr>
    </w:p>
    <w:p>
      <w:pPr>
        <w:pStyle w:val="129"/>
        <w:framePr w:w="9639" w:h="6974" w:hRule="exact" w:wrap="around" w:vAnchor="page" w:hAnchor="page" w:x="1419" w:y="6408" w:anchorLock="1"/>
        <w:textAlignment w:val="bottom"/>
        <w:rPr>
          <w:rFonts w:ascii="黑体" w:hAnsi="黑体" w:eastAsia="黑体"/>
          <w:szCs w:val="28"/>
        </w:rPr>
      </w:pPr>
      <w:r>
        <w:rPr>
          <w:rFonts w:hint="eastAsia" w:ascii="黑体" w:hAnsi="黑体" w:eastAsia="黑体"/>
          <w:szCs w:val="28"/>
        </w:rPr>
        <w:fldChar w:fldCharType="begin">
          <w:ffData>
            <w:name w:val="ESTD_NAME"/>
            <w:enabled/>
            <w:calcOnExit w:val="0"/>
            <w:textInput>
              <w:default w:val="Technical specifications for hyperspectral proximal sensing inversion of surface water environmental parameters"/>
            </w:textInput>
          </w:ffData>
        </w:fldChar>
      </w:r>
      <w:bookmarkStart w:id="10" w:name="ESTD_NAME"/>
      <w:r>
        <w:rPr>
          <w:rFonts w:hint="eastAsia" w:ascii="黑体" w:hAnsi="黑体" w:eastAsia="黑体"/>
          <w:szCs w:val="28"/>
        </w:rPr>
        <w:instrText xml:space="preserve"> FORMTEXT </w:instrText>
      </w:r>
      <w:r>
        <w:rPr>
          <w:rFonts w:hint="eastAsia" w:ascii="黑体" w:hAnsi="黑体" w:eastAsia="黑体"/>
          <w:szCs w:val="28"/>
        </w:rPr>
        <w:fldChar w:fldCharType="separate"/>
      </w:r>
      <w:r>
        <w:rPr>
          <w:rFonts w:hint="eastAsia" w:ascii="黑体" w:hAnsi="黑体" w:eastAsia="黑体"/>
          <w:szCs w:val="28"/>
        </w:rPr>
        <w:t>Technical specifications for hyperspectral proximal sensing inversion of surface water environmental parameters</w:t>
      </w:r>
      <w:r>
        <w:rPr>
          <w:rFonts w:hint="eastAsia" w:ascii="黑体" w:hAnsi="黑体" w:eastAsia="黑体"/>
          <w:szCs w:val="28"/>
        </w:rPr>
        <w:fldChar w:fldCharType="end"/>
      </w:r>
      <w:bookmarkEnd w:id="10"/>
    </w:p>
    <w:p>
      <w:pPr>
        <w:framePr w:w="9639" w:h="6974" w:hRule="exact" w:wrap="around" w:vAnchor="page" w:hAnchor="page" w:x="1419" w:y="6408" w:anchorLock="1"/>
        <w:spacing w:line="760" w:lineRule="exact"/>
        <w:ind w:left="-1418"/>
      </w:pPr>
    </w:p>
    <w:p>
      <w:pPr>
        <w:pStyle w:val="129"/>
        <w:framePr w:w="9639" w:h="6974" w:hRule="exact" w:wrap="around" w:vAnchor="page" w:hAnchor="page" w:x="1419" w:y="6408" w:anchorLock="1"/>
        <w:textAlignment w:val="bottom"/>
        <w:rPr>
          <w:rFonts w:eastAsia="黑体"/>
          <w:szCs w:val="28"/>
        </w:rPr>
      </w:pPr>
    </w:p>
    <w:p>
      <w:pPr>
        <w:pStyle w:val="129"/>
        <w:framePr w:w="9639" w:h="6974" w:hRule="exact" w:wrap="around" w:vAnchor="page" w:hAnchor="page" w:x="1419" w:y="6408" w:anchorLock="1"/>
        <w:spacing w:before="440" w:after="160"/>
        <w:textAlignment w:val="bottom"/>
        <w:rPr>
          <w:sz w:val="24"/>
          <w:szCs w:val="28"/>
        </w:rPr>
      </w:pPr>
      <w:r>
        <w:rPr>
          <w:rFonts w:hint="eastAsia"/>
          <w:sz w:val="24"/>
          <w:szCs w:val="28"/>
        </w:rPr>
        <w:t>征求意见稿</w:t>
      </w:r>
    </w:p>
    <w:p>
      <w:pPr>
        <w:pStyle w:val="129"/>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1" w:name="下拉2"/>
      <w:r>
        <w:rPr>
          <w:b/>
          <w:sz w:val="21"/>
          <w:szCs w:val="28"/>
        </w:rPr>
        <w:instrText xml:space="preserve"> FORMDROPDOWN </w:instrText>
      </w:r>
      <w:r>
        <w:rPr>
          <w:b/>
          <w:sz w:val="21"/>
          <w:szCs w:val="28"/>
        </w:rPr>
        <w:fldChar w:fldCharType="separate"/>
      </w:r>
      <w:r>
        <w:rPr>
          <w:b/>
          <w:sz w:val="21"/>
          <w:szCs w:val="28"/>
        </w:rPr>
        <w:fldChar w:fldCharType="end"/>
      </w:r>
      <w:bookmarkEnd w:id="11"/>
    </w:p>
    <w:p>
      <w:pPr>
        <w:pStyle w:val="197"/>
        <w:framePr w:y="14176"/>
      </w:pPr>
      <w:r>
        <w:rPr>
          <w:rFonts w:ascii="黑体"/>
        </w:rPr>
        <w:fldChar w:fldCharType="begin">
          <w:ffData>
            <w:name w:val="PLSH_DATE_Y"/>
            <w:enabled/>
            <w:calcOnExit w:val="0"/>
            <w:textInput>
              <w:default w:val="XXXX"/>
              <w:maxLength w:val="4"/>
            </w:textInput>
          </w:ffData>
        </w:fldChar>
      </w:r>
      <w:bookmarkStart w:id="12"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2"/>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3"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3"/>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4"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4"/>
      <w:r>
        <w:rPr>
          <w:rFonts w:hint="eastAsia"/>
        </w:rPr>
        <w:t>发布</w:t>
      </w:r>
    </w:p>
    <w:p>
      <w:pPr>
        <w:pStyle w:val="198"/>
        <w:framePr w:y="14176"/>
      </w:pPr>
      <w:r>
        <w:rPr>
          <w:rFonts w:ascii="黑体"/>
        </w:rPr>
        <w:fldChar w:fldCharType="begin">
          <w:ffData>
            <w:name w:val="CROT_DATE_Y"/>
            <w:enabled/>
            <w:calcOnExit w:val="0"/>
            <w:textInput>
              <w:default w:val="XXXX"/>
              <w:maxLength w:val="4"/>
            </w:textInput>
          </w:ffData>
        </w:fldChar>
      </w:r>
      <w:bookmarkStart w:id="15"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5"/>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6"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7"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7"/>
      <w:r>
        <w:rPr>
          <w:rFonts w:hint="eastAsia"/>
        </w:rPr>
        <w:t>实施</w:t>
      </w:r>
    </w:p>
    <w:p>
      <w:pPr>
        <w:pStyle w:val="155"/>
        <w:framePr w:h="584" w:hRule="exact" w:hSpace="181" w:vSpace="181" w:y="15027"/>
        <w:rPr>
          <w:rFonts w:hAnsi="黑体"/>
        </w:rPr>
      </w:pPr>
      <w:r>
        <w:rPr>
          <w:rFonts w:hAnsi="黑体"/>
          <w:w w:val="100"/>
          <w:sz w:val="28"/>
        </w:rPr>
        <w:fldChar w:fldCharType="begin">
          <w:ffData>
            <w:name w:val="fm"/>
            <w:enabled/>
            <w:calcOnExit w:val="0"/>
            <w:textInput/>
          </w:ffData>
        </w:fldChar>
      </w:r>
      <w:bookmarkStart w:id="18" w:name="fm"/>
      <w:r>
        <w:rPr>
          <w:rFonts w:hAnsi="黑体"/>
          <w:w w:val="100"/>
          <w:sz w:val="28"/>
        </w:rPr>
        <w:instrText xml:space="preserve"> FORMTEXT </w:instrText>
      </w:r>
      <w:r>
        <w:rPr>
          <w:rFonts w:hAnsi="黑体"/>
          <w:w w:val="100"/>
          <w:sz w:val="28"/>
        </w:rPr>
        <w:fldChar w:fldCharType="separate"/>
      </w:r>
      <w:r>
        <w:rPr>
          <w:rFonts w:hint="eastAsia" w:hAnsi="黑体"/>
          <w:w w:val="100"/>
          <w:sz w:val="28"/>
        </w:rPr>
        <w:t>江苏省市场监督管理局</w:t>
      </w:r>
      <w:r>
        <w:rPr>
          <w:rFonts w:hAnsi="黑体"/>
          <w:w w:val="100"/>
          <w:sz w:val="28"/>
        </w:rPr>
        <w:fldChar w:fldCharType="end"/>
      </w:r>
      <w:bookmarkEnd w:id="18"/>
      <w:r>
        <w:rPr>
          <w:rFonts w:ascii="Times New Roman"/>
          <w:w w:val="100"/>
          <w:sz w:val="28"/>
        </w:rPr>
        <w:t>  </w:t>
      </w:r>
      <w:r>
        <w:rPr>
          <w:rStyle w:val="233"/>
          <w:rFonts w:hint="eastAsia" w:hAnsi="黑体"/>
          <w:position w:val="0"/>
        </w:rPr>
        <w:t>发</w:t>
      </w:r>
      <w:r>
        <w:rPr>
          <w:rStyle w:val="233"/>
          <w:rFonts w:hint="eastAsia" w:hAnsi="黑体"/>
          <w:spacing w:val="0"/>
          <w:position w:val="0"/>
        </w:rPr>
        <w:t>布</w:t>
      </w:r>
    </w:p>
    <w:p>
      <w:pPr>
        <w:rPr>
          <w:rFonts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3360"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true"/>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3360;mso-width-relative:page;mso-height-relative:page;" filled="f" stroked="t" coordsize="21600,21600" o:gfxdata="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CrMxz71wAAAA4BAAAP&#10;AAAAAAAAAAEAIAAAADgAAABkcnMvZG93bnJldi54bWxQSwECFAAUAAAACACHTuJAEc9x0soBAABf&#10;AwAADgAAAAAAAAABACAAAAA8AQAAZHJzL2Uyb0RvYy54bWxQSwUGAAAAAAYABgBZAQAAeAUAAAAA&#10;">
                <v:fill on="f" focussize="0,0"/>
                <v:stroke color="#000000" joinstyle="round"/>
                <v:imagedata o:title=""/>
                <o:lock v:ext="edit" aspectratio="f"/>
                <w10:anchorlock/>
              </v:line>
            </w:pict>
          </mc:Fallback>
        </mc:AlternateContent>
      </w:r>
    </w:p>
    <w:p>
      <w:pPr>
        <w:pStyle w:val="95"/>
        <w:spacing w:after="468"/>
      </w:pPr>
      <w:bookmarkStart w:id="19" w:name="BookMark1"/>
      <w:bookmarkStart w:id="20" w:name="_Toc228978633"/>
      <w:r>
        <w:rPr>
          <w:rFonts w:hint="eastAsia"/>
          <w:spacing w:val="320"/>
        </w:rPr>
        <w:t>目</w:t>
      </w:r>
      <w:r>
        <w:rPr>
          <w:rFonts w:hint="eastAsia"/>
        </w:rPr>
        <w:t>次</w:t>
      </w:r>
    </w:p>
    <w:p>
      <w:pPr>
        <w:pStyle w:val="21"/>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TOC \o "1-1" \h \t "标准文件_一级条标题,2,标准文件_附录一级条标题,2," </w:instrText>
      </w:r>
      <w:r>
        <w:fldChar w:fldCharType="separate"/>
      </w:r>
      <w:r>
        <w:fldChar w:fldCharType="begin"/>
      </w:r>
      <w:r>
        <w:instrText xml:space="preserve"> HYPERLINK \l "_Toc239680550" </w:instrText>
      </w:r>
      <w:r>
        <w:fldChar w:fldCharType="separate"/>
      </w:r>
      <w:r>
        <w:rPr>
          <w:rStyle w:val="35"/>
          <w:spacing w:val="320"/>
        </w:rPr>
        <w:t>前</w:t>
      </w:r>
      <w:r>
        <w:rPr>
          <w:rStyle w:val="35"/>
        </w:rPr>
        <w:t>言</w:t>
      </w:r>
      <w:r>
        <w:rPr>
          <w:rFonts w:hint="eastAsia"/>
        </w:rPr>
        <w:tab/>
      </w:r>
      <w:r>
        <w:rPr>
          <w:rFonts w:hint="eastAsia"/>
        </w:rPr>
        <w:fldChar w:fldCharType="begin"/>
      </w:r>
      <w:r>
        <w:rPr>
          <w:rFonts w:hint="eastAsia"/>
        </w:rPr>
        <w:instrText xml:space="preserve"> </w:instrText>
      </w:r>
      <w:r>
        <w:instrText xml:space="preserve">PAGEREF _Toc239680550 \h</w:instrText>
      </w:r>
      <w:r>
        <w:rPr>
          <w:rFonts w:hint="eastAsia"/>
        </w:rPr>
        <w:instrText xml:space="preserve"> </w:instrText>
      </w:r>
      <w:r>
        <w:rPr>
          <w:rFonts w:hint="eastAsia"/>
        </w:rPr>
        <w:fldChar w:fldCharType="separate"/>
      </w:r>
      <w:r>
        <w:t>III</w:t>
      </w:r>
      <w:r>
        <w:rPr>
          <w:rFonts w:hint="eastAsia"/>
        </w:rPr>
        <w:fldChar w:fldCharType="end"/>
      </w:r>
      <w:r>
        <w:rPr>
          <w:rFonts w:hint="eastAsia"/>
        </w:rPr>
        <w:fldChar w:fldCharType="end"/>
      </w:r>
    </w:p>
    <w:p>
      <w:pPr>
        <w:pStyle w:val="21"/>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"_Toc239680551" </w:instrText>
      </w:r>
      <w:r>
        <w:fldChar w:fldCharType="separate"/>
      </w:r>
      <w:r>
        <w:rPr>
          <w:rStyle w:val="35"/>
        </w:rPr>
        <w:t>1 范围</w:t>
      </w:r>
      <w:r>
        <w:rPr>
          <w:rFonts w:hint="eastAsia"/>
        </w:rPr>
        <w:tab/>
      </w:r>
      <w:r>
        <w:rPr>
          <w:rFonts w:hint="eastAsia"/>
        </w:rPr>
        <w:fldChar w:fldCharType="begin"/>
      </w:r>
      <w:r>
        <w:rPr>
          <w:rFonts w:hint="eastAsia"/>
        </w:rPr>
        <w:instrText xml:space="preserve"> </w:instrText>
      </w:r>
      <w:r>
        <w:instrText xml:space="preserve">PAGEREF _Toc239680551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21"/>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"_Toc239680552" </w:instrText>
      </w:r>
      <w:r>
        <w:fldChar w:fldCharType="separate"/>
      </w:r>
      <w:r>
        <w:rPr>
          <w:rStyle w:val="35"/>
        </w:rPr>
        <w:t>2 规范性引用文件</w:t>
      </w:r>
      <w:r>
        <w:rPr>
          <w:rFonts w:hint="eastAsia"/>
        </w:rPr>
        <w:tab/>
      </w:r>
      <w:r>
        <w:rPr>
          <w:rFonts w:hint="eastAsia"/>
        </w:rPr>
        <w:fldChar w:fldCharType="begin"/>
      </w:r>
      <w:r>
        <w:rPr>
          <w:rFonts w:hint="eastAsia"/>
        </w:rPr>
        <w:instrText xml:space="preserve"> </w:instrText>
      </w:r>
      <w:r>
        <w:instrText xml:space="preserve">PAGEREF _Toc239680552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21"/>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"_Toc239680553" </w:instrText>
      </w:r>
      <w:r>
        <w:fldChar w:fldCharType="separate"/>
      </w:r>
      <w:r>
        <w:rPr>
          <w:rStyle w:val="35"/>
        </w:rPr>
        <w:t>3 术语和定义</w:t>
      </w:r>
      <w:r>
        <w:rPr>
          <w:rFonts w:hint="eastAsia"/>
        </w:rPr>
        <w:tab/>
      </w:r>
      <w:r>
        <w:rPr>
          <w:rFonts w:hint="eastAsia"/>
        </w:rPr>
        <w:fldChar w:fldCharType="begin"/>
      </w:r>
      <w:r>
        <w:rPr>
          <w:rFonts w:hint="eastAsia"/>
        </w:rPr>
        <w:instrText xml:space="preserve"> </w:instrText>
      </w:r>
      <w:r>
        <w:instrText xml:space="preserve">PAGEREF _Toc239680553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21"/>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"_Toc239680554" </w:instrText>
      </w:r>
      <w:r>
        <w:fldChar w:fldCharType="separate"/>
      </w:r>
      <w:r>
        <w:rPr>
          <w:rStyle w:val="35"/>
        </w:rPr>
        <w:t>4 总体要求和原则</w:t>
      </w:r>
      <w:r>
        <w:rPr>
          <w:rFonts w:hint="eastAsia"/>
        </w:rPr>
        <w:tab/>
      </w:r>
      <w:r>
        <w:rPr>
          <w:rFonts w:hint="eastAsia"/>
        </w:rPr>
        <w:fldChar w:fldCharType="begin"/>
      </w:r>
      <w:r>
        <w:rPr>
          <w:rFonts w:hint="eastAsia"/>
        </w:rPr>
        <w:instrText xml:space="preserve"> </w:instrText>
      </w:r>
      <w:r>
        <w:instrText xml:space="preserve">PAGEREF _Toc239680554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pPr>
        <w:pStyle w:val="26"/>
        <w:rPr>
          <w:rFonts w:asciiTheme="minorHAnsi" w:hAnsiTheme="minorHAnsi" w:eastAsiaTheme="minorEastAsia" w:cstheme="minorBidi"/>
          <w:sz w:val="22"/>
          <w:szCs w:val="24"/>
          <w14:ligatures w14:val="standardContextual"/>
        </w:rPr>
      </w:pPr>
      <w:r>
        <w:fldChar w:fldCharType="begin"/>
      </w:r>
      <w:r>
        <w:instrText xml:space="preserve"> HYPERLINK \l "_Toc239680555" </w:instrText>
      </w:r>
      <w:r>
        <w:fldChar w:fldCharType="separate"/>
      </w:r>
      <w:r>
        <w:rPr>
          <w:rStyle w:val="35"/>
          <w14:scene3d w14:prst="orthographicFront">
            <w14:lightRig w14:rig="threePt" w14:dir="t">
              <w14:rot w14:lat="0" w14:lon="0" w14:rev="0"/>
            </w14:lightRig>
          </w14:scene3d>
        </w:rPr>
        <w:t>4.1</w:t>
      </w:r>
      <w:r>
        <w:rPr>
          <w:rStyle w:val="35"/>
        </w:rPr>
        <w:t xml:space="preserve"> 总体要求</w:t>
      </w:r>
      <w:r>
        <w:rPr>
          <w:rFonts w:hint="eastAsia"/>
        </w:rPr>
        <w:tab/>
      </w:r>
      <w:r>
        <w:rPr>
          <w:rFonts w:hint="eastAsia"/>
        </w:rPr>
        <w:fldChar w:fldCharType="begin"/>
      </w:r>
      <w:r>
        <w:rPr>
          <w:rFonts w:hint="eastAsia"/>
        </w:rPr>
        <w:instrText xml:space="preserve"> </w:instrText>
      </w:r>
      <w:r>
        <w:instrText xml:space="preserve">PAGEREF _Toc239680555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pPr>
        <w:pStyle w:val="26"/>
        <w:rPr>
          <w:rFonts w:asciiTheme="minorHAnsi" w:hAnsiTheme="minorHAnsi" w:eastAsiaTheme="minorEastAsia" w:cstheme="minorBidi"/>
          <w:sz w:val="22"/>
          <w:szCs w:val="24"/>
          <w14:ligatures w14:val="standardContextual"/>
        </w:rPr>
      </w:pPr>
      <w:r>
        <w:fldChar w:fldCharType="begin"/>
      </w:r>
      <w:r>
        <w:instrText xml:space="preserve"> HYPERLINK \l "_Toc239680556" </w:instrText>
      </w:r>
      <w:r>
        <w:fldChar w:fldCharType="separate"/>
      </w:r>
      <w:r>
        <w:rPr>
          <w:rStyle w:val="35"/>
          <w14:scene3d w14:prst="orthographicFront">
            <w14:lightRig w14:rig="threePt" w14:dir="t">
              <w14:rot w14:lat="0" w14:lon="0" w14:rev="0"/>
            </w14:lightRig>
          </w14:scene3d>
        </w:rPr>
        <w:t>4.2</w:t>
      </w:r>
      <w:r>
        <w:rPr>
          <w:rStyle w:val="35"/>
        </w:rPr>
        <w:t xml:space="preserve"> 总体原则</w:t>
      </w:r>
      <w:r>
        <w:rPr>
          <w:rFonts w:hint="eastAsia"/>
        </w:rPr>
        <w:tab/>
      </w:r>
      <w:r>
        <w:rPr>
          <w:rFonts w:hint="eastAsia"/>
        </w:rPr>
        <w:fldChar w:fldCharType="begin"/>
      </w:r>
      <w:r>
        <w:rPr>
          <w:rFonts w:hint="eastAsia"/>
        </w:rPr>
        <w:instrText xml:space="preserve"> </w:instrText>
      </w:r>
      <w:r>
        <w:instrText xml:space="preserve">PAGEREF _Toc239680556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pPr>
        <w:pStyle w:val="21"/>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"_Toc239680557" </w:instrText>
      </w:r>
      <w:r>
        <w:fldChar w:fldCharType="separate"/>
      </w:r>
      <w:r>
        <w:rPr>
          <w:rStyle w:val="35"/>
        </w:rPr>
        <w:t>5 技术流程</w:t>
      </w:r>
      <w:r>
        <w:rPr>
          <w:rFonts w:hint="eastAsia"/>
        </w:rPr>
        <w:tab/>
      </w:r>
      <w:r>
        <w:rPr>
          <w:rFonts w:hint="eastAsia"/>
        </w:rPr>
        <w:fldChar w:fldCharType="begin"/>
      </w:r>
      <w:r>
        <w:rPr>
          <w:rFonts w:hint="eastAsia"/>
        </w:rPr>
        <w:instrText xml:space="preserve"> </w:instrText>
      </w:r>
      <w:r>
        <w:instrText xml:space="preserve">PAGEREF _Toc239680557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21"/>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"_Toc239680558" </w:instrText>
      </w:r>
      <w:r>
        <w:fldChar w:fldCharType="separate"/>
      </w:r>
      <w:r>
        <w:rPr>
          <w:rStyle w:val="35"/>
        </w:rPr>
        <w:t>6 设备选型与布设</w:t>
      </w:r>
      <w:r>
        <w:rPr>
          <w:rFonts w:hint="eastAsia"/>
        </w:rPr>
        <w:tab/>
      </w:r>
      <w:r>
        <w:rPr>
          <w:rFonts w:hint="eastAsia"/>
        </w:rPr>
        <w:fldChar w:fldCharType="begin"/>
      </w:r>
      <w:r>
        <w:rPr>
          <w:rFonts w:hint="eastAsia"/>
        </w:rPr>
        <w:instrText xml:space="preserve"> </w:instrText>
      </w:r>
      <w:r>
        <w:instrText xml:space="preserve">PAGEREF _Toc239680558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26"/>
        <w:rPr>
          <w:rFonts w:asciiTheme="minorHAnsi" w:hAnsiTheme="minorHAnsi" w:eastAsiaTheme="minorEastAsia" w:cstheme="minorBidi"/>
          <w:sz w:val="22"/>
          <w:szCs w:val="24"/>
          <w14:ligatures w14:val="standardContextual"/>
        </w:rPr>
      </w:pPr>
      <w:r>
        <w:fldChar w:fldCharType="begin"/>
      </w:r>
      <w:r>
        <w:instrText xml:space="preserve"> HYPERLINK \l "_Toc239680559" </w:instrText>
      </w:r>
      <w:r>
        <w:fldChar w:fldCharType="separate"/>
      </w:r>
      <w:r>
        <w:rPr>
          <w:rStyle w:val="35"/>
          <w14:scene3d w14:prst="orthographicFront">
            <w14:lightRig w14:rig="threePt" w14:dir="t">
              <w14:rot w14:lat="0" w14:lon="0" w14:rev="0"/>
            </w14:lightRig>
          </w14:scene3d>
        </w:rPr>
        <w:t>6.1</w:t>
      </w:r>
      <w:r>
        <w:rPr>
          <w:rStyle w:val="35"/>
        </w:rPr>
        <w:t xml:space="preserve"> 选型要求</w:t>
      </w:r>
      <w:r>
        <w:rPr>
          <w:rFonts w:hint="eastAsia"/>
        </w:rPr>
        <w:tab/>
      </w:r>
      <w:r>
        <w:rPr>
          <w:rFonts w:hint="eastAsia"/>
        </w:rPr>
        <w:fldChar w:fldCharType="begin"/>
      </w:r>
      <w:r>
        <w:rPr>
          <w:rFonts w:hint="eastAsia"/>
        </w:rPr>
        <w:instrText xml:space="preserve"> </w:instrText>
      </w:r>
      <w:r>
        <w:instrText xml:space="preserve">PAGEREF _Toc239680559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26"/>
        <w:rPr>
          <w:rFonts w:asciiTheme="minorHAnsi" w:hAnsiTheme="minorHAnsi" w:eastAsiaTheme="minorEastAsia" w:cstheme="minorBidi"/>
          <w:sz w:val="22"/>
          <w:szCs w:val="24"/>
          <w14:ligatures w14:val="standardContextual"/>
        </w:rPr>
      </w:pPr>
      <w:r>
        <w:fldChar w:fldCharType="begin"/>
      </w:r>
      <w:r>
        <w:instrText xml:space="preserve"> HYPERLINK \l "_Toc239680560" </w:instrText>
      </w:r>
      <w:r>
        <w:fldChar w:fldCharType="separate"/>
      </w:r>
      <w:r>
        <w:rPr>
          <w:rStyle w:val="35"/>
          <w14:scene3d w14:prst="orthographicFront">
            <w14:lightRig w14:rig="threePt" w14:dir="t">
              <w14:rot w14:lat="0" w14:lon="0" w14:rev="0"/>
            </w14:lightRig>
          </w14:scene3d>
        </w:rPr>
        <w:t>6.2</w:t>
      </w:r>
      <w:r>
        <w:rPr>
          <w:rStyle w:val="35"/>
        </w:rPr>
        <w:t xml:space="preserve"> 布设环境要求</w:t>
      </w:r>
      <w:r>
        <w:rPr>
          <w:rFonts w:hint="eastAsia"/>
        </w:rPr>
        <w:tab/>
      </w:r>
      <w:r>
        <w:rPr>
          <w:rFonts w:hint="eastAsia"/>
        </w:rPr>
        <w:fldChar w:fldCharType="begin"/>
      </w:r>
      <w:r>
        <w:rPr>
          <w:rFonts w:hint="eastAsia"/>
        </w:rPr>
        <w:instrText xml:space="preserve"> </w:instrText>
      </w:r>
      <w:r>
        <w:instrText xml:space="preserve">PAGEREF _Toc239680560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pPr>
        <w:pStyle w:val="21"/>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"_Toc239680561" </w:instrText>
      </w:r>
      <w:r>
        <w:fldChar w:fldCharType="separate"/>
      </w:r>
      <w:r>
        <w:rPr>
          <w:rStyle w:val="35"/>
        </w:rPr>
        <w:t>7 数据获取与预处理</w:t>
      </w:r>
      <w:r>
        <w:rPr>
          <w:rFonts w:hint="eastAsia"/>
        </w:rPr>
        <w:tab/>
      </w:r>
      <w:r>
        <w:rPr>
          <w:rFonts w:hint="eastAsia"/>
        </w:rPr>
        <w:fldChar w:fldCharType="begin"/>
      </w:r>
      <w:r>
        <w:rPr>
          <w:rFonts w:hint="eastAsia"/>
        </w:rPr>
        <w:instrText xml:space="preserve"> </w:instrText>
      </w:r>
      <w:r>
        <w:instrText xml:space="preserve">PAGEREF _Toc239680561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pPr>
        <w:pStyle w:val="26"/>
        <w:rPr>
          <w:rFonts w:asciiTheme="minorHAnsi" w:hAnsiTheme="minorHAnsi" w:eastAsiaTheme="minorEastAsia" w:cstheme="minorBidi"/>
          <w:sz w:val="22"/>
          <w:szCs w:val="24"/>
          <w14:ligatures w14:val="standardContextual"/>
        </w:rPr>
      </w:pPr>
      <w:r>
        <w:fldChar w:fldCharType="begin"/>
      </w:r>
      <w:r>
        <w:instrText xml:space="preserve"> HYPERLINK \l "_Toc239680562" </w:instrText>
      </w:r>
      <w:r>
        <w:fldChar w:fldCharType="separate"/>
      </w:r>
      <w:r>
        <w:rPr>
          <w:rStyle w:val="35"/>
          <w14:scene3d w14:prst="orthographicFront">
            <w14:lightRig w14:rig="threePt" w14:dir="t">
              <w14:rot w14:lat="0" w14:lon="0" w14:rev="0"/>
            </w14:lightRig>
          </w14:scene3d>
        </w:rPr>
        <w:t>7.1</w:t>
      </w:r>
      <w:r>
        <w:rPr>
          <w:rStyle w:val="35"/>
        </w:rPr>
        <w:t xml:space="preserve"> 数据组成</w:t>
      </w:r>
      <w:r>
        <w:rPr>
          <w:rFonts w:hint="eastAsia"/>
        </w:rPr>
        <w:tab/>
      </w:r>
      <w:r>
        <w:rPr>
          <w:rFonts w:hint="eastAsia"/>
        </w:rPr>
        <w:fldChar w:fldCharType="begin"/>
      </w:r>
      <w:r>
        <w:rPr>
          <w:rFonts w:hint="eastAsia"/>
        </w:rPr>
        <w:instrText xml:space="preserve"> </w:instrText>
      </w:r>
      <w:r>
        <w:instrText xml:space="preserve">PAGEREF _Toc239680562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pPr>
        <w:pStyle w:val="26"/>
        <w:rPr>
          <w:rFonts w:asciiTheme="minorHAnsi" w:hAnsiTheme="minorHAnsi" w:eastAsiaTheme="minorEastAsia" w:cstheme="minorBidi"/>
          <w:sz w:val="22"/>
          <w:szCs w:val="24"/>
          <w14:ligatures w14:val="standardContextual"/>
        </w:rPr>
      </w:pPr>
      <w:r>
        <w:fldChar w:fldCharType="begin"/>
      </w:r>
      <w:r>
        <w:instrText xml:space="preserve"> HYPERLINK \l "_Toc239680563" </w:instrText>
      </w:r>
      <w:r>
        <w:fldChar w:fldCharType="separate"/>
      </w:r>
      <w:r>
        <w:rPr>
          <w:rStyle w:val="35"/>
          <w14:scene3d w14:prst="orthographicFront">
            <w14:lightRig w14:rig="threePt" w14:dir="t">
              <w14:rot w14:lat="0" w14:lon="0" w14:rev="0"/>
            </w14:lightRig>
          </w14:scene3d>
        </w:rPr>
        <w:t>7.2</w:t>
      </w:r>
      <w:r>
        <w:rPr>
          <w:rStyle w:val="35"/>
        </w:rPr>
        <w:t xml:space="preserve"> 数据基本要求</w:t>
      </w:r>
      <w:r>
        <w:rPr>
          <w:rFonts w:hint="eastAsia"/>
        </w:rPr>
        <w:tab/>
      </w:r>
      <w:r>
        <w:rPr>
          <w:rFonts w:hint="eastAsia"/>
        </w:rPr>
        <w:fldChar w:fldCharType="begin"/>
      </w:r>
      <w:r>
        <w:rPr>
          <w:rFonts w:hint="eastAsia"/>
        </w:rPr>
        <w:instrText xml:space="preserve"> </w:instrText>
      </w:r>
      <w:r>
        <w:instrText xml:space="preserve">PAGEREF _Toc239680563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pPr>
        <w:pStyle w:val="26"/>
        <w:rPr>
          <w:rFonts w:asciiTheme="minorHAnsi" w:hAnsiTheme="minorHAnsi" w:eastAsiaTheme="minorEastAsia" w:cstheme="minorBidi"/>
          <w:sz w:val="22"/>
          <w:szCs w:val="24"/>
          <w14:ligatures w14:val="standardContextual"/>
        </w:rPr>
      </w:pPr>
      <w:r>
        <w:fldChar w:fldCharType="begin"/>
      </w:r>
      <w:r>
        <w:instrText xml:space="preserve"> HYPERLINK \l "_Toc239680564" </w:instrText>
      </w:r>
      <w:r>
        <w:fldChar w:fldCharType="separate"/>
      </w:r>
      <w:r>
        <w:rPr>
          <w:rStyle w:val="35"/>
          <w14:scene3d w14:prst="orthographicFront">
            <w14:lightRig w14:rig="threePt" w14:dir="t">
              <w14:rot w14:lat="0" w14:lon="0" w14:rev="0"/>
            </w14:lightRig>
          </w14:scene3d>
        </w:rPr>
        <w:t>7.3</w:t>
      </w:r>
      <w:r>
        <w:rPr>
          <w:rStyle w:val="35"/>
        </w:rPr>
        <w:t xml:space="preserve"> 实测水环境参数获取与预处理</w:t>
      </w:r>
      <w:r>
        <w:rPr>
          <w:rFonts w:hint="eastAsia"/>
        </w:rPr>
        <w:tab/>
      </w:r>
      <w:r>
        <w:rPr>
          <w:rFonts w:hint="eastAsia"/>
        </w:rPr>
        <w:fldChar w:fldCharType="begin"/>
      </w:r>
      <w:r>
        <w:rPr>
          <w:rFonts w:hint="eastAsia"/>
        </w:rPr>
        <w:instrText xml:space="preserve"> </w:instrText>
      </w:r>
      <w:r>
        <w:instrText xml:space="preserve">PAGEREF _Toc239680564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pPr>
        <w:pStyle w:val="26"/>
        <w:rPr>
          <w:rFonts w:asciiTheme="minorHAnsi" w:hAnsiTheme="minorHAnsi" w:eastAsiaTheme="minorEastAsia" w:cstheme="minorBidi"/>
          <w:sz w:val="22"/>
          <w:szCs w:val="24"/>
          <w14:ligatures w14:val="standardContextual"/>
        </w:rPr>
      </w:pPr>
      <w:r>
        <w:fldChar w:fldCharType="begin"/>
      </w:r>
      <w:r>
        <w:instrText xml:space="preserve"> HYPERLINK \l "_Toc239680565" </w:instrText>
      </w:r>
      <w:r>
        <w:fldChar w:fldCharType="separate"/>
      </w:r>
      <w:r>
        <w:rPr>
          <w:rStyle w:val="35"/>
          <w14:scene3d w14:prst="orthographicFront">
            <w14:lightRig w14:rig="threePt" w14:dir="t">
              <w14:rot w14:lat="0" w14:lon="0" w14:rev="0"/>
            </w14:lightRig>
          </w14:scene3d>
        </w:rPr>
        <w:t>7.4</w:t>
      </w:r>
      <w:r>
        <w:rPr>
          <w:rStyle w:val="35"/>
        </w:rPr>
        <w:t xml:space="preserve"> 高光谱反射率获取与预处理</w:t>
      </w:r>
      <w:r>
        <w:rPr>
          <w:rFonts w:hint="eastAsia"/>
        </w:rPr>
        <w:tab/>
      </w:r>
      <w:r>
        <w:rPr>
          <w:rFonts w:hint="eastAsia"/>
        </w:rPr>
        <w:fldChar w:fldCharType="begin"/>
      </w:r>
      <w:r>
        <w:rPr>
          <w:rFonts w:hint="eastAsia"/>
        </w:rPr>
        <w:instrText xml:space="preserve"> </w:instrText>
      </w:r>
      <w:r>
        <w:instrText xml:space="preserve">PAGEREF _Toc239680565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pPr>
        <w:pStyle w:val="26"/>
        <w:rPr>
          <w:rFonts w:asciiTheme="minorHAnsi" w:hAnsiTheme="minorHAnsi" w:eastAsiaTheme="minorEastAsia" w:cstheme="minorBidi"/>
          <w:sz w:val="22"/>
          <w:szCs w:val="24"/>
          <w14:ligatures w14:val="standardContextual"/>
        </w:rPr>
      </w:pPr>
      <w:r>
        <w:fldChar w:fldCharType="begin"/>
      </w:r>
      <w:r>
        <w:instrText xml:space="preserve"> HYPERLINK \l "_Toc239680566" </w:instrText>
      </w:r>
      <w:r>
        <w:fldChar w:fldCharType="separate"/>
      </w:r>
      <w:r>
        <w:rPr>
          <w:rStyle w:val="35"/>
          <w14:scene3d w14:prst="orthographicFront">
            <w14:lightRig w14:rig="threePt" w14:dir="t">
              <w14:rot w14:lat="0" w14:lon="0" w14:rev="0"/>
            </w14:lightRig>
          </w14:scene3d>
        </w:rPr>
        <w:t>7.5</w:t>
      </w:r>
      <w:r>
        <w:rPr>
          <w:rStyle w:val="35"/>
        </w:rPr>
        <w:t xml:space="preserve"> 水环境参数与高光谱反射率同步匹配</w:t>
      </w:r>
      <w:r>
        <w:rPr>
          <w:rFonts w:hint="eastAsia"/>
        </w:rPr>
        <w:tab/>
      </w:r>
      <w:r>
        <w:rPr>
          <w:rFonts w:hint="eastAsia"/>
        </w:rPr>
        <w:fldChar w:fldCharType="begin"/>
      </w:r>
      <w:r>
        <w:rPr>
          <w:rFonts w:hint="eastAsia"/>
        </w:rPr>
        <w:instrText xml:space="preserve"> </w:instrText>
      </w:r>
      <w:r>
        <w:instrText xml:space="preserve">PAGEREF _Toc239680566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pPr>
        <w:pStyle w:val="21"/>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"_Toc239680567" </w:instrText>
      </w:r>
      <w:r>
        <w:fldChar w:fldCharType="separate"/>
      </w:r>
      <w:r>
        <w:rPr>
          <w:rStyle w:val="35"/>
        </w:rPr>
        <w:t>8 水环境参数反演模型构建与应用</w:t>
      </w:r>
      <w:r>
        <w:rPr>
          <w:rFonts w:hint="eastAsia"/>
        </w:rPr>
        <w:tab/>
      </w:r>
      <w:r>
        <w:rPr>
          <w:rFonts w:hint="eastAsia"/>
        </w:rPr>
        <w:fldChar w:fldCharType="begin"/>
      </w:r>
      <w:r>
        <w:rPr>
          <w:rFonts w:hint="eastAsia"/>
        </w:rPr>
        <w:instrText xml:space="preserve"> </w:instrText>
      </w:r>
      <w:r>
        <w:instrText xml:space="preserve">PAGEREF _Toc239680567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pPr>
        <w:pStyle w:val="26"/>
        <w:rPr>
          <w:rFonts w:asciiTheme="minorHAnsi" w:hAnsiTheme="minorHAnsi" w:eastAsiaTheme="minorEastAsia" w:cstheme="minorBidi"/>
          <w:sz w:val="22"/>
          <w:szCs w:val="24"/>
          <w14:ligatures w14:val="standardContextual"/>
        </w:rPr>
      </w:pPr>
      <w:r>
        <w:fldChar w:fldCharType="begin"/>
      </w:r>
      <w:r>
        <w:instrText xml:space="preserve"> HYPERLINK \l "_Toc239680568" </w:instrText>
      </w:r>
      <w:r>
        <w:fldChar w:fldCharType="separate"/>
      </w:r>
      <w:r>
        <w:rPr>
          <w:rStyle w:val="35"/>
          <w14:scene3d w14:prst="orthographicFront">
            <w14:lightRig w14:rig="threePt" w14:dir="t">
              <w14:rot w14:lat="0" w14:lon="0" w14:rev="0"/>
            </w14:lightRig>
          </w14:scene3d>
        </w:rPr>
        <w:t>8.1</w:t>
      </w:r>
      <w:r>
        <w:rPr>
          <w:rStyle w:val="35"/>
        </w:rPr>
        <w:t xml:space="preserve"> 数据集划分</w:t>
      </w:r>
      <w:r>
        <w:rPr>
          <w:rFonts w:hint="eastAsia"/>
        </w:rPr>
        <w:tab/>
      </w:r>
      <w:r>
        <w:rPr>
          <w:rFonts w:hint="eastAsia"/>
        </w:rPr>
        <w:fldChar w:fldCharType="begin"/>
      </w:r>
      <w:r>
        <w:rPr>
          <w:rFonts w:hint="eastAsia"/>
        </w:rPr>
        <w:instrText xml:space="preserve"> </w:instrText>
      </w:r>
      <w:r>
        <w:instrText xml:space="preserve">PAGEREF _Toc239680568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pPr>
        <w:pStyle w:val="26"/>
        <w:rPr>
          <w:rFonts w:asciiTheme="minorHAnsi" w:hAnsiTheme="minorHAnsi" w:eastAsiaTheme="minorEastAsia" w:cstheme="minorBidi"/>
          <w:sz w:val="22"/>
          <w:szCs w:val="24"/>
          <w14:ligatures w14:val="standardContextual"/>
        </w:rPr>
      </w:pPr>
      <w:r>
        <w:fldChar w:fldCharType="begin"/>
      </w:r>
      <w:r>
        <w:instrText xml:space="preserve"> HYPERLINK \l "_Toc239680569" </w:instrText>
      </w:r>
      <w:r>
        <w:fldChar w:fldCharType="separate"/>
      </w:r>
      <w:r>
        <w:rPr>
          <w:rStyle w:val="35"/>
          <w14:scene3d w14:prst="orthographicFront">
            <w14:lightRig w14:rig="threePt" w14:dir="t">
              <w14:rot w14:lat="0" w14:lon="0" w14:rev="0"/>
            </w14:lightRig>
          </w14:scene3d>
        </w:rPr>
        <w:t>8.2</w:t>
      </w:r>
      <w:r>
        <w:rPr>
          <w:rStyle w:val="35"/>
        </w:rPr>
        <w:t xml:space="preserve"> 模型构建</w:t>
      </w:r>
      <w:r>
        <w:rPr>
          <w:rFonts w:hint="eastAsia"/>
        </w:rPr>
        <w:tab/>
      </w:r>
      <w:r>
        <w:rPr>
          <w:rFonts w:hint="eastAsia"/>
        </w:rPr>
        <w:fldChar w:fldCharType="begin"/>
      </w:r>
      <w:r>
        <w:rPr>
          <w:rFonts w:hint="eastAsia"/>
        </w:rPr>
        <w:instrText xml:space="preserve"> </w:instrText>
      </w:r>
      <w:r>
        <w:instrText xml:space="preserve">PAGEREF _Toc239680569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pPr>
        <w:pStyle w:val="26"/>
        <w:rPr>
          <w:rFonts w:asciiTheme="minorHAnsi" w:hAnsiTheme="minorHAnsi" w:eastAsiaTheme="minorEastAsia" w:cstheme="minorBidi"/>
          <w:sz w:val="22"/>
          <w:szCs w:val="24"/>
          <w14:ligatures w14:val="standardContextual"/>
        </w:rPr>
      </w:pPr>
      <w:r>
        <w:fldChar w:fldCharType="begin"/>
      </w:r>
      <w:r>
        <w:instrText xml:space="preserve"> HYPERLINK \l "_Toc239680570" </w:instrText>
      </w:r>
      <w:r>
        <w:fldChar w:fldCharType="separate"/>
      </w:r>
      <w:r>
        <w:rPr>
          <w:rStyle w:val="35"/>
          <w14:scene3d w14:prst="orthographicFront">
            <w14:lightRig w14:rig="threePt" w14:dir="t">
              <w14:rot w14:lat="0" w14:lon="0" w14:rev="0"/>
            </w14:lightRig>
          </w14:scene3d>
        </w:rPr>
        <w:t>8.3</w:t>
      </w:r>
      <w:r>
        <w:rPr>
          <w:rStyle w:val="35"/>
        </w:rPr>
        <w:t xml:space="preserve"> 模型评估与优选</w:t>
      </w:r>
      <w:r>
        <w:rPr>
          <w:rFonts w:hint="eastAsia"/>
        </w:rPr>
        <w:tab/>
      </w:r>
      <w:r>
        <w:rPr>
          <w:rFonts w:hint="eastAsia"/>
        </w:rPr>
        <w:fldChar w:fldCharType="begin"/>
      </w:r>
      <w:r>
        <w:rPr>
          <w:rFonts w:hint="eastAsia"/>
        </w:rPr>
        <w:instrText xml:space="preserve"> </w:instrText>
      </w:r>
      <w:r>
        <w:instrText xml:space="preserve">PAGEREF _Toc239680570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pPr>
        <w:pStyle w:val="26"/>
        <w:rPr>
          <w:rFonts w:asciiTheme="minorHAnsi" w:hAnsiTheme="minorHAnsi" w:eastAsiaTheme="minorEastAsia" w:cstheme="minorBidi"/>
          <w:sz w:val="22"/>
          <w:szCs w:val="24"/>
          <w14:ligatures w14:val="standardContextual"/>
        </w:rPr>
      </w:pPr>
      <w:r>
        <w:fldChar w:fldCharType="begin"/>
      </w:r>
      <w:r>
        <w:instrText xml:space="preserve"> HYPERLINK \l "_Toc239680571" </w:instrText>
      </w:r>
      <w:r>
        <w:fldChar w:fldCharType="separate"/>
      </w:r>
      <w:r>
        <w:rPr>
          <w:rStyle w:val="35"/>
          <w14:scene3d w14:prst="orthographicFront">
            <w14:lightRig w14:rig="threePt" w14:dir="t">
              <w14:rot w14:lat="0" w14:lon="0" w14:rev="0"/>
            </w14:lightRig>
          </w14:scene3d>
        </w:rPr>
        <w:t>8.4</w:t>
      </w:r>
      <w:r>
        <w:rPr>
          <w:rStyle w:val="35"/>
        </w:rPr>
        <w:t xml:space="preserve"> 模型应用</w:t>
      </w:r>
      <w:r>
        <w:rPr>
          <w:rFonts w:hint="eastAsia"/>
        </w:rPr>
        <w:tab/>
      </w:r>
      <w:r>
        <w:rPr>
          <w:rFonts w:hint="eastAsia"/>
        </w:rPr>
        <w:fldChar w:fldCharType="begin"/>
      </w:r>
      <w:r>
        <w:rPr>
          <w:rFonts w:hint="eastAsia"/>
        </w:rPr>
        <w:instrText xml:space="preserve"> </w:instrText>
      </w:r>
      <w:r>
        <w:instrText xml:space="preserve">PAGEREF _Toc239680571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pPr>
        <w:pStyle w:val="26"/>
        <w:rPr>
          <w:rFonts w:asciiTheme="minorHAnsi" w:hAnsiTheme="minorHAnsi" w:eastAsiaTheme="minorEastAsia" w:cstheme="minorBidi"/>
          <w:sz w:val="22"/>
          <w:szCs w:val="24"/>
          <w14:ligatures w14:val="standardContextual"/>
        </w:rPr>
      </w:pPr>
      <w:r>
        <w:fldChar w:fldCharType="begin"/>
      </w:r>
      <w:r>
        <w:instrText xml:space="preserve"> HYPERLINK \l "_Toc239680572" </w:instrText>
      </w:r>
      <w:r>
        <w:fldChar w:fldCharType="separate"/>
      </w:r>
      <w:r>
        <w:rPr>
          <w:rStyle w:val="35"/>
          <w14:scene3d w14:prst="orthographicFront">
            <w14:lightRig w14:rig="threePt" w14:dir="t">
              <w14:rot w14:lat="0" w14:lon="0" w14:rev="0"/>
            </w14:lightRig>
          </w14:scene3d>
        </w:rPr>
        <w:t>8.5</w:t>
      </w:r>
      <w:r>
        <w:rPr>
          <w:rStyle w:val="35"/>
        </w:rPr>
        <w:t xml:space="preserve"> 模型更新与维护</w:t>
      </w:r>
      <w:r>
        <w:rPr>
          <w:rFonts w:hint="eastAsia"/>
        </w:rPr>
        <w:tab/>
      </w:r>
      <w:r>
        <w:rPr>
          <w:rFonts w:hint="eastAsia"/>
        </w:rPr>
        <w:fldChar w:fldCharType="begin"/>
      </w:r>
      <w:r>
        <w:rPr>
          <w:rFonts w:hint="eastAsia"/>
        </w:rPr>
        <w:instrText xml:space="preserve"> </w:instrText>
      </w:r>
      <w:r>
        <w:instrText xml:space="preserve">PAGEREF _Toc239680572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pPr>
        <w:pStyle w:val="21"/>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"_Toc239680573" </w:instrText>
      </w:r>
      <w:r>
        <w:fldChar w:fldCharType="separate"/>
      </w:r>
      <w:r>
        <w:rPr>
          <w:rStyle w:val="35"/>
        </w:rPr>
        <w:t>9 质量控制与评估</w:t>
      </w:r>
      <w:r>
        <w:rPr>
          <w:rFonts w:hint="eastAsia"/>
        </w:rPr>
        <w:tab/>
      </w:r>
      <w:r>
        <w:rPr>
          <w:rFonts w:hint="eastAsia"/>
        </w:rPr>
        <w:fldChar w:fldCharType="begin"/>
      </w:r>
      <w:r>
        <w:rPr>
          <w:rFonts w:hint="eastAsia"/>
        </w:rPr>
        <w:instrText xml:space="preserve"> </w:instrText>
      </w:r>
      <w:r>
        <w:instrText xml:space="preserve">PAGEREF _Toc239680573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pPr>
        <w:pStyle w:val="26"/>
        <w:rPr>
          <w:rFonts w:asciiTheme="minorHAnsi" w:hAnsiTheme="minorHAnsi" w:eastAsiaTheme="minorEastAsia" w:cstheme="minorBidi"/>
          <w:sz w:val="22"/>
          <w:szCs w:val="24"/>
          <w14:ligatures w14:val="standardContextual"/>
        </w:rPr>
      </w:pPr>
      <w:r>
        <w:fldChar w:fldCharType="begin"/>
      </w:r>
      <w:r>
        <w:instrText xml:space="preserve"> HYPERLINK \l "_Toc239680574" </w:instrText>
      </w:r>
      <w:r>
        <w:fldChar w:fldCharType="separate"/>
      </w:r>
      <w:r>
        <w:rPr>
          <w:rStyle w:val="35"/>
          <w14:scene3d w14:prst="orthographicFront">
            <w14:lightRig w14:rig="threePt" w14:dir="t">
              <w14:rot w14:lat="0" w14:lon="0" w14:rev="0"/>
            </w14:lightRig>
          </w14:scene3d>
        </w:rPr>
        <w:t>9.1</w:t>
      </w:r>
      <w:r>
        <w:rPr>
          <w:rStyle w:val="35"/>
        </w:rPr>
        <w:t xml:space="preserve"> 质量控制</w:t>
      </w:r>
      <w:r>
        <w:rPr>
          <w:rFonts w:hint="eastAsia"/>
        </w:rPr>
        <w:tab/>
      </w:r>
      <w:r>
        <w:rPr>
          <w:rFonts w:hint="eastAsia"/>
        </w:rPr>
        <w:fldChar w:fldCharType="begin"/>
      </w:r>
      <w:r>
        <w:rPr>
          <w:rFonts w:hint="eastAsia"/>
        </w:rPr>
        <w:instrText xml:space="preserve"> </w:instrText>
      </w:r>
      <w:r>
        <w:instrText xml:space="preserve">PAGEREF _Toc239680574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pPr>
        <w:pStyle w:val="26"/>
        <w:rPr>
          <w:rFonts w:asciiTheme="minorHAnsi" w:hAnsiTheme="minorHAnsi" w:eastAsiaTheme="minorEastAsia" w:cstheme="minorBidi"/>
          <w:sz w:val="22"/>
          <w:szCs w:val="24"/>
          <w14:ligatures w14:val="standardContextual"/>
        </w:rPr>
      </w:pPr>
      <w:r>
        <w:fldChar w:fldCharType="begin"/>
      </w:r>
      <w:r>
        <w:instrText xml:space="preserve"> HYPERLINK \l "_Toc239680575" </w:instrText>
      </w:r>
      <w:r>
        <w:fldChar w:fldCharType="separate"/>
      </w:r>
      <w:r>
        <w:rPr>
          <w:rStyle w:val="35"/>
          <w14:scene3d w14:prst="orthographicFront">
            <w14:lightRig w14:rig="threePt" w14:dir="t">
              <w14:rot w14:lat="0" w14:lon="0" w14:rev="0"/>
            </w14:lightRig>
          </w14:scene3d>
        </w:rPr>
        <w:t>9.2</w:t>
      </w:r>
      <w:r>
        <w:rPr>
          <w:rStyle w:val="35"/>
        </w:rPr>
        <w:t xml:space="preserve"> 质量评估</w:t>
      </w:r>
      <w:r>
        <w:rPr>
          <w:rFonts w:hint="eastAsia"/>
        </w:rPr>
        <w:tab/>
      </w:r>
      <w:r>
        <w:rPr>
          <w:rFonts w:hint="eastAsia"/>
        </w:rPr>
        <w:fldChar w:fldCharType="begin"/>
      </w:r>
      <w:r>
        <w:rPr>
          <w:rFonts w:hint="eastAsia"/>
        </w:rPr>
        <w:instrText xml:space="preserve"> </w:instrText>
      </w:r>
      <w:r>
        <w:instrText xml:space="preserve">PAGEREF _Toc239680575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pPr>
        <w:pStyle w:val="21"/>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"_Toc239680576" </w:instrText>
      </w:r>
      <w:r>
        <w:fldChar w:fldCharType="separate"/>
      </w:r>
      <w:r>
        <w:rPr>
          <w:rStyle w:val="35"/>
        </w:rPr>
        <w:t>10 安全要求</w:t>
      </w:r>
      <w:r>
        <w:rPr>
          <w:rFonts w:hint="eastAsia"/>
        </w:rPr>
        <w:tab/>
      </w:r>
      <w:r>
        <w:rPr>
          <w:rFonts w:hint="eastAsia"/>
        </w:rPr>
        <w:fldChar w:fldCharType="begin"/>
      </w:r>
      <w:r>
        <w:rPr>
          <w:rFonts w:hint="eastAsia"/>
        </w:rPr>
        <w:instrText xml:space="preserve"> </w:instrText>
      </w:r>
      <w:r>
        <w:instrText xml:space="preserve">PAGEREF _Toc239680576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pPr>
        <w:pStyle w:val="26"/>
        <w:rPr>
          <w:rFonts w:asciiTheme="minorHAnsi" w:hAnsiTheme="minorHAnsi" w:eastAsiaTheme="minorEastAsia" w:cstheme="minorBidi"/>
          <w:sz w:val="22"/>
          <w:szCs w:val="24"/>
          <w14:ligatures w14:val="standardContextual"/>
        </w:rPr>
      </w:pPr>
      <w:r>
        <w:fldChar w:fldCharType="begin"/>
      </w:r>
      <w:r>
        <w:instrText xml:space="preserve"> HYPERLINK \l "_Toc239680577" </w:instrText>
      </w:r>
      <w:r>
        <w:fldChar w:fldCharType="separate"/>
      </w:r>
      <w:r>
        <w:rPr>
          <w:rStyle w:val="35"/>
          <w14:scene3d w14:prst="orthographicFront">
            <w14:lightRig w14:rig="threePt" w14:dir="t">
              <w14:rot w14:lat="0" w14:lon="0" w14:rev="0"/>
            </w14:lightRig>
          </w14:scene3d>
        </w:rPr>
        <w:t>10.1</w:t>
      </w:r>
      <w:r>
        <w:rPr>
          <w:rStyle w:val="35"/>
        </w:rPr>
        <w:t xml:space="preserve"> 设备安全</w:t>
      </w:r>
      <w:r>
        <w:rPr>
          <w:rFonts w:hint="eastAsia"/>
        </w:rPr>
        <w:tab/>
      </w:r>
      <w:r>
        <w:rPr>
          <w:rFonts w:hint="eastAsia"/>
        </w:rPr>
        <w:fldChar w:fldCharType="begin"/>
      </w:r>
      <w:r>
        <w:rPr>
          <w:rFonts w:hint="eastAsia"/>
        </w:rPr>
        <w:instrText xml:space="preserve"> </w:instrText>
      </w:r>
      <w:r>
        <w:instrText xml:space="preserve">PAGEREF _Toc239680577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pPr>
        <w:pStyle w:val="26"/>
        <w:rPr>
          <w:rFonts w:asciiTheme="minorHAnsi" w:hAnsiTheme="minorHAnsi" w:eastAsiaTheme="minorEastAsia" w:cstheme="minorBidi"/>
          <w:sz w:val="22"/>
          <w:szCs w:val="24"/>
          <w14:ligatures w14:val="standardContextual"/>
        </w:rPr>
      </w:pPr>
      <w:r>
        <w:fldChar w:fldCharType="begin"/>
      </w:r>
      <w:r>
        <w:instrText xml:space="preserve"> HYPERLINK \l "_Toc239680578" </w:instrText>
      </w:r>
      <w:r>
        <w:fldChar w:fldCharType="separate"/>
      </w:r>
      <w:r>
        <w:rPr>
          <w:rStyle w:val="35"/>
          <w14:scene3d w14:prst="orthographicFront">
            <w14:lightRig w14:rig="threePt" w14:dir="t">
              <w14:rot w14:lat="0" w14:lon="0" w14:rev="0"/>
            </w14:lightRig>
          </w14:scene3d>
        </w:rPr>
        <w:t>10.2</w:t>
      </w:r>
      <w:r>
        <w:rPr>
          <w:rStyle w:val="35"/>
        </w:rPr>
        <w:t xml:space="preserve"> 数据安全</w:t>
      </w:r>
      <w:r>
        <w:rPr>
          <w:rFonts w:hint="eastAsia"/>
        </w:rPr>
        <w:tab/>
      </w:r>
      <w:r>
        <w:rPr>
          <w:rFonts w:hint="eastAsia"/>
        </w:rPr>
        <w:fldChar w:fldCharType="begin"/>
      </w:r>
      <w:r>
        <w:rPr>
          <w:rFonts w:hint="eastAsia"/>
        </w:rPr>
        <w:instrText xml:space="preserve"> </w:instrText>
      </w:r>
      <w:r>
        <w:instrText xml:space="preserve">PAGEREF _Toc239680578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pPr>
        <w:pStyle w:val="26"/>
        <w:rPr>
          <w:rFonts w:asciiTheme="minorHAnsi" w:hAnsiTheme="minorHAnsi" w:eastAsiaTheme="minorEastAsia" w:cstheme="minorBidi"/>
          <w:sz w:val="22"/>
          <w:szCs w:val="24"/>
          <w14:ligatures w14:val="standardContextual"/>
        </w:rPr>
      </w:pPr>
      <w:r>
        <w:fldChar w:fldCharType="begin"/>
      </w:r>
      <w:r>
        <w:instrText xml:space="preserve"> HYPERLINK \l "_Toc239680579" </w:instrText>
      </w:r>
      <w:r>
        <w:fldChar w:fldCharType="separate"/>
      </w:r>
      <w:r>
        <w:rPr>
          <w:rStyle w:val="35"/>
          <w14:scene3d w14:prst="orthographicFront">
            <w14:lightRig w14:rig="threePt" w14:dir="t">
              <w14:rot w14:lat="0" w14:lon="0" w14:rev="0"/>
            </w14:lightRig>
          </w14:scene3d>
        </w:rPr>
        <w:t>10.3</w:t>
      </w:r>
      <w:r>
        <w:rPr>
          <w:rStyle w:val="35"/>
        </w:rPr>
        <w:t xml:space="preserve"> 野外作业安全</w:t>
      </w:r>
      <w:r>
        <w:rPr>
          <w:rFonts w:hint="eastAsia"/>
        </w:rPr>
        <w:tab/>
      </w:r>
      <w:r>
        <w:rPr>
          <w:rFonts w:hint="eastAsia"/>
        </w:rPr>
        <w:fldChar w:fldCharType="begin"/>
      </w:r>
      <w:r>
        <w:rPr>
          <w:rFonts w:hint="eastAsia"/>
        </w:rPr>
        <w:instrText xml:space="preserve"> </w:instrText>
      </w:r>
      <w:r>
        <w:instrText xml:space="preserve">PAGEREF _Toc239680579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pPr>
        <w:pStyle w:val="21"/>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"_Toc239680580" </w:instrText>
      </w:r>
      <w:r>
        <w:fldChar w:fldCharType="separate"/>
      </w:r>
      <w:r>
        <w:rPr>
          <w:rStyle w:val="35"/>
        </w:rPr>
        <w:t>11 参数拓展与持续改进</w:t>
      </w:r>
      <w:r>
        <w:rPr>
          <w:rFonts w:hint="eastAsia"/>
        </w:rPr>
        <w:tab/>
      </w:r>
      <w:r>
        <w:rPr>
          <w:rFonts w:hint="eastAsia"/>
        </w:rPr>
        <w:fldChar w:fldCharType="begin"/>
      </w:r>
      <w:r>
        <w:rPr>
          <w:rFonts w:hint="eastAsia"/>
        </w:rPr>
        <w:instrText xml:space="preserve"> </w:instrText>
      </w:r>
      <w:r>
        <w:instrText xml:space="preserve">PAGEREF _Toc239680580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pPr>
        <w:pStyle w:val="26"/>
        <w:rPr>
          <w:rFonts w:asciiTheme="minorHAnsi" w:hAnsiTheme="minorHAnsi" w:eastAsiaTheme="minorEastAsia" w:cstheme="minorBidi"/>
          <w:sz w:val="22"/>
          <w:szCs w:val="24"/>
          <w14:ligatures w14:val="standardContextual"/>
        </w:rPr>
      </w:pPr>
      <w:r>
        <w:fldChar w:fldCharType="begin"/>
      </w:r>
      <w:r>
        <w:instrText xml:space="preserve"> HYPERLINK \l "_Toc239680581" </w:instrText>
      </w:r>
      <w:r>
        <w:fldChar w:fldCharType="separate"/>
      </w:r>
      <w:r>
        <w:rPr>
          <w:rStyle w:val="35"/>
          <w14:scene3d w14:prst="orthographicFront">
            <w14:lightRig w14:rig="threePt" w14:dir="t">
              <w14:rot w14:lat="0" w14:lon="0" w14:rev="0"/>
            </w14:lightRig>
          </w14:scene3d>
        </w:rPr>
        <w:t>11.1</w:t>
      </w:r>
      <w:r>
        <w:rPr>
          <w:rStyle w:val="35"/>
        </w:rPr>
        <w:t xml:space="preserve"> 参数拓展</w:t>
      </w:r>
      <w:r>
        <w:rPr>
          <w:rFonts w:hint="eastAsia"/>
        </w:rPr>
        <w:tab/>
      </w:r>
      <w:r>
        <w:rPr>
          <w:rFonts w:hint="eastAsia"/>
        </w:rPr>
        <w:fldChar w:fldCharType="begin"/>
      </w:r>
      <w:r>
        <w:rPr>
          <w:rFonts w:hint="eastAsia"/>
        </w:rPr>
        <w:instrText xml:space="preserve"> </w:instrText>
      </w:r>
      <w:r>
        <w:instrText xml:space="preserve">PAGEREF _Toc239680581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pPr>
        <w:pStyle w:val="26"/>
        <w:rPr>
          <w:rFonts w:asciiTheme="minorHAnsi" w:hAnsiTheme="minorHAnsi" w:eastAsiaTheme="minorEastAsia" w:cstheme="minorBidi"/>
          <w:sz w:val="22"/>
          <w:szCs w:val="24"/>
          <w14:ligatures w14:val="standardContextual"/>
        </w:rPr>
      </w:pPr>
      <w:r>
        <w:fldChar w:fldCharType="begin"/>
      </w:r>
      <w:r>
        <w:instrText xml:space="preserve"> HYPERLINK \l "_Toc239680582" </w:instrText>
      </w:r>
      <w:r>
        <w:fldChar w:fldCharType="separate"/>
      </w:r>
      <w:r>
        <w:rPr>
          <w:rStyle w:val="35"/>
          <w14:scene3d w14:prst="orthographicFront">
            <w14:lightRig w14:rig="threePt" w14:dir="t">
              <w14:rot w14:lat="0" w14:lon="0" w14:rev="0"/>
            </w14:lightRig>
          </w14:scene3d>
        </w:rPr>
        <w:t>11.2</w:t>
      </w:r>
      <w:r>
        <w:rPr>
          <w:rStyle w:val="35"/>
        </w:rPr>
        <w:t xml:space="preserve"> 持续改进</w:t>
      </w:r>
      <w:r>
        <w:rPr>
          <w:rFonts w:hint="eastAsia"/>
        </w:rPr>
        <w:tab/>
      </w:r>
      <w:r>
        <w:rPr>
          <w:rFonts w:hint="eastAsia"/>
        </w:rPr>
        <w:fldChar w:fldCharType="begin"/>
      </w:r>
      <w:r>
        <w:rPr>
          <w:rFonts w:hint="eastAsia"/>
        </w:rPr>
        <w:instrText xml:space="preserve"> </w:instrText>
      </w:r>
      <w:r>
        <w:instrText xml:space="preserve">PAGEREF _Toc239680582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pPr>
        <w:pStyle w:val="21"/>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"_Toc239680583" </w:instrText>
      </w:r>
      <w:r>
        <w:fldChar w:fldCharType="separate"/>
      </w:r>
      <w:r>
        <w:rPr>
          <w:rStyle w:val="35"/>
          <w:spacing w:val="100"/>
        </w:rPr>
        <w:t>附录A</w:t>
      </w:r>
      <w:r>
        <w:rPr>
          <w:rStyle w:val="35"/>
        </w:rPr>
        <w:t xml:space="preserve"> （资料性） 光谱预处理</w:t>
      </w:r>
      <w:r>
        <w:rPr>
          <w:rFonts w:hint="eastAsia"/>
        </w:rPr>
        <w:tab/>
      </w:r>
      <w:r>
        <w:rPr>
          <w:rFonts w:hint="eastAsia"/>
        </w:rPr>
        <w:fldChar w:fldCharType="begin"/>
      </w:r>
      <w:r>
        <w:rPr>
          <w:rFonts w:hint="eastAsia"/>
        </w:rPr>
        <w:instrText xml:space="preserve"> </w:instrText>
      </w:r>
      <w:r>
        <w:instrText xml:space="preserve">PAGEREF _Toc239680583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pPr>
        <w:pStyle w:val="21"/>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"_Toc239680584" </w:instrText>
      </w:r>
      <w:r>
        <w:fldChar w:fldCharType="separate"/>
      </w:r>
      <w:r>
        <w:rPr>
          <w:rStyle w:val="35"/>
          <w:spacing w:val="100"/>
        </w:rPr>
        <w:t>附录B</w:t>
      </w:r>
      <w:r>
        <w:rPr>
          <w:rStyle w:val="35"/>
        </w:rPr>
        <w:t xml:space="preserve"> （资料性） 光谱角计算</w:t>
      </w:r>
      <w:r>
        <w:rPr>
          <w:rFonts w:hint="eastAsia"/>
        </w:rPr>
        <w:tab/>
      </w:r>
      <w:r>
        <w:rPr>
          <w:rFonts w:hint="eastAsia"/>
        </w:rPr>
        <w:fldChar w:fldCharType="begin"/>
      </w:r>
      <w:r>
        <w:rPr>
          <w:rFonts w:hint="eastAsia"/>
        </w:rPr>
        <w:instrText xml:space="preserve"> </w:instrText>
      </w:r>
      <w:r>
        <w:instrText xml:space="preserve">PAGEREF _Toc239680584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pPr>
        <w:pStyle w:val="21"/>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"_Toc239680585" </w:instrText>
      </w:r>
      <w:r>
        <w:fldChar w:fldCharType="separate"/>
      </w:r>
      <w:r>
        <w:rPr>
          <w:rStyle w:val="35"/>
          <w:spacing w:val="100"/>
        </w:rPr>
        <w:t>附录C</w:t>
      </w:r>
      <w:r>
        <w:rPr>
          <w:rStyle w:val="35"/>
        </w:rPr>
        <w:t xml:space="preserve"> （资料性） 模型精度评价指标</w:t>
      </w:r>
      <w:r>
        <w:rPr>
          <w:rFonts w:hint="eastAsia"/>
        </w:rPr>
        <w:tab/>
      </w:r>
      <w:r>
        <w:rPr>
          <w:rFonts w:hint="eastAsia"/>
        </w:rPr>
        <w:fldChar w:fldCharType="begin"/>
      </w:r>
      <w:r>
        <w:rPr>
          <w:rFonts w:hint="eastAsia"/>
        </w:rPr>
        <w:instrText xml:space="preserve"> </w:instrText>
      </w:r>
      <w:r>
        <w:instrText xml:space="preserve">PAGEREF _Toc239680585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pPr>
        <w:pStyle w:val="26"/>
        <w:rPr>
          <w:rFonts w:asciiTheme="minorHAnsi" w:hAnsiTheme="minorHAnsi" w:eastAsiaTheme="minorEastAsia" w:cstheme="minorBidi"/>
          <w:sz w:val="22"/>
          <w:szCs w:val="24"/>
          <w14:ligatures w14:val="standardContextual"/>
        </w:rPr>
      </w:pPr>
      <w:r>
        <w:fldChar w:fldCharType="begin"/>
      </w:r>
      <w:r>
        <w:instrText xml:space="preserve"> HYPERLINK \l "_Toc239680586" </w:instrText>
      </w:r>
      <w:r>
        <w:fldChar w:fldCharType="separate"/>
      </w:r>
      <w:r>
        <w:rPr>
          <w:rStyle w:val="35"/>
        </w:rPr>
        <w:t>C.1 决定系数（R</w:t>
      </w:r>
      <w:r>
        <w:rPr>
          <w:rStyle w:val="35"/>
          <w:rFonts w:ascii="Calibri" w:hAnsi="Calibri" w:cs="Calibri"/>
        </w:rPr>
        <w:t>²</w:t>
      </w:r>
      <w:r>
        <w:rPr>
          <w:rStyle w:val="35"/>
          <w:rFonts w:hAnsi="黑体" w:cs="黑体"/>
        </w:rPr>
        <w:t>）</w:t>
      </w:r>
      <w:r>
        <w:rPr>
          <w:rFonts w:hint="eastAsia"/>
        </w:rPr>
        <w:tab/>
      </w:r>
      <w:r>
        <w:rPr>
          <w:rFonts w:hint="eastAsia"/>
        </w:rPr>
        <w:fldChar w:fldCharType="begin"/>
      </w:r>
      <w:r>
        <w:rPr>
          <w:rFonts w:hint="eastAsia"/>
        </w:rPr>
        <w:instrText xml:space="preserve"> </w:instrText>
      </w:r>
      <w:r>
        <w:instrText xml:space="preserve">PAGEREF _Toc239680586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pPr>
        <w:pStyle w:val="26"/>
        <w:rPr>
          <w:rFonts w:asciiTheme="minorHAnsi" w:hAnsiTheme="minorHAnsi" w:eastAsiaTheme="minorEastAsia" w:cstheme="minorBidi"/>
          <w:sz w:val="22"/>
          <w:szCs w:val="24"/>
          <w14:ligatures w14:val="standardContextual"/>
        </w:rPr>
      </w:pPr>
      <w:r>
        <w:fldChar w:fldCharType="begin"/>
      </w:r>
      <w:r>
        <w:instrText xml:space="preserve"> HYPERLINK \l "_Toc239680587" </w:instrText>
      </w:r>
      <w:r>
        <w:fldChar w:fldCharType="separate"/>
      </w:r>
      <w:r>
        <w:rPr>
          <w:rStyle w:val="35"/>
        </w:rPr>
        <w:t>C.2 均方根误差（RMSE）</w:t>
      </w:r>
      <w:r>
        <w:rPr>
          <w:rFonts w:hint="eastAsia"/>
        </w:rPr>
        <w:tab/>
      </w:r>
      <w:r>
        <w:rPr>
          <w:rFonts w:hint="eastAsia"/>
        </w:rPr>
        <w:fldChar w:fldCharType="begin"/>
      </w:r>
      <w:r>
        <w:rPr>
          <w:rFonts w:hint="eastAsia"/>
        </w:rPr>
        <w:instrText xml:space="preserve"> </w:instrText>
      </w:r>
      <w:r>
        <w:instrText xml:space="preserve">PAGEREF _Toc239680587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pPr>
        <w:pStyle w:val="26"/>
        <w:rPr>
          <w:rFonts w:asciiTheme="minorHAnsi" w:hAnsiTheme="minorHAnsi" w:eastAsiaTheme="minorEastAsia" w:cstheme="minorBidi"/>
          <w:sz w:val="22"/>
          <w:szCs w:val="24"/>
          <w14:ligatures w14:val="standardContextual"/>
        </w:rPr>
      </w:pPr>
      <w:r>
        <w:fldChar w:fldCharType="begin"/>
      </w:r>
      <w:r>
        <w:instrText xml:space="preserve"> HYPERLINK \l "_Toc239680588" </w:instrText>
      </w:r>
      <w:r>
        <w:fldChar w:fldCharType="separate"/>
      </w:r>
      <w:r>
        <w:rPr>
          <w:rStyle w:val="35"/>
        </w:rPr>
        <w:t>C.3 均方误差（MSE）</w:t>
      </w:r>
      <w:r>
        <w:rPr>
          <w:rFonts w:hint="eastAsia"/>
        </w:rPr>
        <w:tab/>
      </w:r>
      <w:r>
        <w:rPr>
          <w:rFonts w:hint="eastAsia"/>
        </w:rPr>
        <w:fldChar w:fldCharType="begin"/>
      </w:r>
      <w:r>
        <w:rPr>
          <w:rFonts w:hint="eastAsia"/>
        </w:rPr>
        <w:instrText xml:space="preserve"> </w:instrText>
      </w:r>
      <w:r>
        <w:instrText xml:space="preserve">PAGEREF _Toc239680588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pPr>
        <w:pStyle w:val="26"/>
        <w:rPr>
          <w:rFonts w:asciiTheme="minorHAnsi" w:hAnsiTheme="minorHAnsi" w:eastAsiaTheme="minorEastAsia" w:cstheme="minorBidi"/>
          <w:sz w:val="22"/>
          <w:szCs w:val="24"/>
          <w14:ligatures w14:val="standardContextual"/>
        </w:rPr>
      </w:pPr>
      <w:r>
        <w:fldChar w:fldCharType="begin"/>
      </w:r>
      <w:r>
        <w:instrText xml:space="preserve"> HYPERLINK \l "_Toc239680589" </w:instrText>
      </w:r>
      <w:r>
        <w:fldChar w:fldCharType="separate"/>
      </w:r>
      <w:r>
        <w:rPr>
          <w:rStyle w:val="35"/>
        </w:rPr>
        <w:t>C.4 平均绝对误差（MAE）</w:t>
      </w:r>
      <w:r>
        <w:rPr>
          <w:rFonts w:hint="eastAsia"/>
        </w:rPr>
        <w:tab/>
      </w:r>
      <w:r>
        <w:rPr>
          <w:rFonts w:hint="eastAsia"/>
        </w:rPr>
        <w:fldChar w:fldCharType="begin"/>
      </w:r>
      <w:r>
        <w:rPr>
          <w:rFonts w:hint="eastAsia"/>
        </w:rPr>
        <w:instrText xml:space="preserve"> </w:instrText>
      </w:r>
      <w:r>
        <w:instrText xml:space="preserve">PAGEREF _Toc239680589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pPr>
        <w:pStyle w:val="21"/>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"_Toc239680590" </w:instrText>
      </w:r>
      <w:r>
        <w:fldChar w:fldCharType="separate"/>
      </w:r>
      <w:r>
        <w:rPr>
          <w:rStyle w:val="35"/>
          <w:spacing w:val="105"/>
        </w:rPr>
        <w:t>参考文</w:t>
      </w:r>
      <w:r>
        <w:rPr>
          <w:rStyle w:val="35"/>
        </w:rPr>
        <w:t>献</w:t>
      </w:r>
      <w:r>
        <w:rPr>
          <w:rFonts w:hint="eastAsia"/>
        </w:rPr>
        <w:tab/>
      </w:r>
      <w:r>
        <w:rPr>
          <w:rFonts w:hint="eastAsia"/>
        </w:rPr>
        <w:fldChar w:fldCharType="begin"/>
      </w:r>
      <w:r>
        <w:rPr>
          <w:rFonts w:hint="eastAsia"/>
        </w:rPr>
        <w:instrText xml:space="preserve"> </w:instrText>
      </w:r>
      <w:r>
        <w:instrText xml:space="preserve">PAGEREF _Toc239680590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pPr>
        <w:pStyle w:val="95"/>
        <w:spacing w:after="468"/>
        <w:sectPr>
          <w:headerReference r:id="rId11" w:type="default"/>
          <w:footerReference r:id="rId13" w:type="default"/>
          <w:headerReference r:id="rId12" w:type="even"/>
          <w:footerReference r:id="rId14" w:type="even"/>
          <w:pgSz w:w="11906" w:h="16838"/>
          <w:pgMar w:top="1928" w:right="1134" w:bottom="1134" w:left="1134" w:header="1418" w:footer="1134" w:gutter="284"/>
          <w:pgNumType w:fmt="upperRoman" w:start="1"/>
          <w:cols w:space="425" w:num="1"/>
          <w:formProt w:val="0"/>
          <w:docGrid w:type="lines" w:linePitch="312" w:charSpace="0"/>
        </w:sectPr>
      </w:pPr>
      <w:r>
        <w:fldChar w:fldCharType="end"/>
      </w:r>
    </w:p>
    <w:bookmarkEnd w:id="19"/>
    <w:p>
      <w:pPr>
        <w:pStyle w:val="93"/>
        <w:spacing w:before="900" w:after="468"/>
      </w:pPr>
      <w:bookmarkStart w:id="21" w:name="_Toc239680550"/>
      <w:bookmarkStart w:id="22" w:name="BookMark2"/>
      <w:r>
        <w:rPr>
          <w:spacing w:val="320"/>
        </w:rPr>
        <w:t>前</w:t>
      </w:r>
      <w:r>
        <w:t>言</w:t>
      </w:r>
      <w:bookmarkEnd w:id="20"/>
      <w:bookmarkEnd w:id="21"/>
    </w:p>
    <w:p>
      <w:pPr>
        <w:pStyle w:val="60"/>
        <w:ind w:firstLine="420"/>
      </w:pPr>
      <w:r>
        <w:rPr>
          <w:rFonts w:hint="eastAsia"/>
        </w:rPr>
        <w:t>本文件按照GB/T 1.1—2020《标准化工作导则  第1部分：标准化文件的结构和起草规则》的规定起草。</w:t>
      </w:r>
    </w:p>
    <w:p>
      <w:pPr>
        <w:pStyle w:val="60"/>
        <w:ind w:firstLine="420"/>
      </w:pPr>
      <w:r>
        <w:rPr>
          <w:rFonts w:hint="eastAsia"/>
        </w:rPr>
        <w:t>请注意本文件的某些内容可能涉及专利。本文件的发布机构不承担识别专利的责任。</w:t>
      </w:r>
    </w:p>
    <w:p>
      <w:pPr>
        <w:pStyle w:val="60"/>
        <w:ind w:firstLine="420"/>
      </w:pPr>
      <w:r>
        <w:rPr>
          <w:rFonts w:hint="eastAsia"/>
        </w:rPr>
        <w:t>本文件由江苏省生态环境厅提出、组织实施并归口。</w:t>
      </w:r>
    </w:p>
    <w:p>
      <w:pPr>
        <w:pStyle w:val="60"/>
        <w:ind w:firstLine="420"/>
      </w:pPr>
      <w:r>
        <w:rPr>
          <w:rFonts w:hint="eastAsia"/>
        </w:rPr>
        <w:t>本文件起草单位：中国科学院南京地理与湖泊研究所、</w:t>
      </w:r>
      <w:bookmarkStart w:id="23" w:name="OLE_LINK8"/>
      <w:r>
        <w:rPr>
          <w:rFonts w:hint="eastAsia"/>
        </w:rPr>
        <w:t>南京中科深瞳科技研究院有限公司</w:t>
      </w:r>
      <w:bookmarkEnd w:id="23"/>
      <w:r>
        <w:rPr>
          <w:rFonts w:hint="eastAsia"/>
        </w:rPr>
        <w:t>。</w:t>
      </w:r>
    </w:p>
    <w:p>
      <w:pPr>
        <w:pStyle w:val="60"/>
        <w:ind w:firstLine="420"/>
      </w:pPr>
      <w:r>
        <w:rPr>
          <w:rFonts w:hint="eastAsia"/>
        </w:rPr>
        <w:t>本文件主要起草人：</w:t>
      </w:r>
      <w:bookmarkStart w:id="24" w:name="OLE_LINK2"/>
      <w:r>
        <w:rPr>
          <w:rFonts w:hint="eastAsia"/>
        </w:rPr>
        <w:t>李娜、张运林、施坤、张毅博、骆夏杨、崔驰潇、秦伯强、朱广伟、郭宇龙</w:t>
      </w:r>
      <w:bookmarkEnd w:id="24"/>
      <w:r>
        <w:rPr>
          <w:rFonts w:hint="eastAsia"/>
        </w:rPr>
        <w:t>。</w:t>
      </w:r>
    </w:p>
    <w:p>
      <w:pPr>
        <w:pStyle w:val="60"/>
        <w:ind w:firstLine="420"/>
      </w:pPr>
    </w:p>
    <w:p>
      <w:pPr>
        <w:pStyle w:val="60"/>
        <w:ind w:firstLine="420"/>
        <w:sectPr>
          <w:headerReference r:id="rId15" w:type="default"/>
          <w:footerReference r:id="rId17" w:type="default"/>
          <w:headerReference r:id="rId16" w:type="even"/>
          <w:footerReference r:id="rId18" w:type="even"/>
          <w:pgSz w:w="11906" w:h="16838"/>
          <w:pgMar w:top="1928" w:right="1134" w:bottom="1134" w:left="1134" w:header="1418" w:footer="1134" w:gutter="284"/>
          <w:pgNumType w:fmt="upperRoman"/>
          <w:cols w:space="425" w:num="1"/>
          <w:formProt w:val="0"/>
          <w:docGrid w:type="lines" w:linePitch="312" w:charSpace="0"/>
        </w:sectPr>
      </w:pPr>
    </w:p>
    <w:bookmarkEnd w:id="22"/>
    <w:p>
      <w:pPr>
        <w:spacing w:line="20" w:lineRule="exact"/>
        <w:jc w:val="center"/>
        <w:rPr>
          <w:rFonts w:ascii="黑体" w:hAnsi="黑体" w:eastAsia="黑体"/>
          <w:sz w:val="32"/>
          <w:szCs w:val="32"/>
        </w:rPr>
      </w:pPr>
      <w:bookmarkStart w:id="25" w:name="BookMark4"/>
    </w:p>
    <w:p>
      <w:pPr>
        <w:spacing w:line="20" w:lineRule="exact"/>
        <w:jc w:val="center"/>
        <w:rPr>
          <w:rFonts w:ascii="黑体" w:hAnsi="黑体" w:eastAsia="黑体"/>
          <w:sz w:val="32"/>
          <w:szCs w:val="32"/>
        </w:rPr>
      </w:pPr>
    </w:p>
    <w:sdt>
      <w:sdtPr>
        <w:tag w:val="NEW_STAND_NAME"/>
        <w:id w:val="595910757"/>
        <w:lock w:val="sdtLocked"/>
        <w:placeholder>
          <w:docPart w:val="149D7AD918C347D19A515A6C8CE2CBEC"/>
        </w:placeholder>
      </w:sdtPr>
      <w:sdtContent>
        <w:p>
          <w:pPr>
            <w:pStyle w:val="181"/>
            <w:spacing w:before="312" w:beforeLines="100" w:after="686" w:afterLines="220"/>
          </w:pPr>
          <w:bookmarkStart w:id="26" w:name="NEW_STAND_NAME"/>
          <w:r>
            <w:rPr>
              <w:rFonts w:hint="eastAsia"/>
            </w:rPr>
            <w:t>高光谱近感地表水环境参数反演技术规范</w:t>
          </w:r>
        </w:p>
      </w:sdtContent>
    </w:sdt>
    <w:bookmarkEnd w:id="26"/>
    <w:p>
      <w:pPr>
        <w:pStyle w:val="108"/>
        <w:spacing w:before="312" w:after="312"/>
      </w:pPr>
      <w:bookmarkStart w:id="27" w:name="_Toc26718930"/>
      <w:bookmarkStart w:id="28" w:name="_Toc24884211"/>
      <w:bookmarkStart w:id="29" w:name="_Toc26986530"/>
      <w:bookmarkStart w:id="30" w:name="_Toc239680551"/>
      <w:bookmarkStart w:id="31" w:name="_Toc26986771"/>
      <w:bookmarkStart w:id="32" w:name="_Toc24884218"/>
      <w:bookmarkStart w:id="33" w:name="_Toc17233333"/>
      <w:bookmarkStart w:id="34" w:name="_Toc26648465"/>
      <w:bookmarkStart w:id="35" w:name="_Toc97191423"/>
      <w:bookmarkStart w:id="36" w:name="_Toc17233325"/>
      <w:bookmarkStart w:id="37" w:name="_Toc228978634"/>
      <w:r>
        <w:rPr>
          <w:rFonts w:hint="eastAsia"/>
        </w:rPr>
        <w:t>范围</w:t>
      </w:r>
      <w:bookmarkEnd w:id="27"/>
      <w:bookmarkEnd w:id="28"/>
      <w:bookmarkEnd w:id="29"/>
      <w:bookmarkEnd w:id="30"/>
      <w:bookmarkEnd w:id="31"/>
      <w:bookmarkEnd w:id="32"/>
      <w:bookmarkEnd w:id="33"/>
      <w:bookmarkEnd w:id="34"/>
      <w:bookmarkEnd w:id="35"/>
      <w:bookmarkEnd w:id="36"/>
      <w:bookmarkEnd w:id="37"/>
    </w:p>
    <w:p>
      <w:pPr>
        <w:pStyle w:val="60"/>
        <w:ind w:firstLine="420"/>
      </w:pPr>
      <w:bookmarkStart w:id="38" w:name="_Toc17233334"/>
      <w:bookmarkStart w:id="39" w:name="_Toc17233326"/>
      <w:bookmarkStart w:id="40" w:name="_Toc26648466"/>
      <w:bookmarkStart w:id="41" w:name="_Toc24884212"/>
      <w:bookmarkStart w:id="42" w:name="_Toc24884219"/>
      <w:r>
        <w:rPr>
          <w:rFonts w:hint="eastAsia"/>
        </w:rPr>
        <w:t>本文件规定了采用高光谱近感技术开展地表水环境参数反演的总体要求和原则、技术流程、设备选型与布设、同步数据获取与预处理、模型构建与应用、质量控制与评估、安全以及参数扩展要求。</w:t>
      </w:r>
    </w:p>
    <w:p>
      <w:pPr>
        <w:pStyle w:val="60"/>
        <w:ind w:firstLine="420"/>
      </w:pPr>
      <w:r>
        <w:t>本文件适用于陆基、浮标固定监测站点及船载移动监测平台，</w:t>
      </w:r>
      <w:r>
        <w:rPr>
          <w:rFonts w:hint="eastAsia"/>
        </w:rPr>
        <w:t>利用</w:t>
      </w:r>
      <w:r>
        <w:t>可见光～近红外波段（400 nm～1000 nm）高光谱近感设备，</w:t>
      </w:r>
      <w:r>
        <w:rPr>
          <w:rFonts w:hint="eastAsia"/>
        </w:rPr>
        <w:t>对</w:t>
      </w:r>
      <w:r>
        <w:t>内陆淡水湖泊、水库、河流等地表水体</w:t>
      </w:r>
      <w:r>
        <w:rPr>
          <w:rFonts w:hint="eastAsia"/>
        </w:rPr>
        <w:t>开展</w:t>
      </w:r>
      <w:r>
        <w:t>水环境</w:t>
      </w:r>
      <w:r>
        <w:rPr>
          <w:rFonts w:hint="eastAsia"/>
        </w:rPr>
        <w:t>参数</w:t>
      </w:r>
      <w:r>
        <w:t>反演。</w:t>
      </w:r>
    </w:p>
    <w:p>
      <w:pPr>
        <w:pStyle w:val="60"/>
        <w:ind w:firstLine="420"/>
      </w:pPr>
      <w:r>
        <w:t>本文件</w:t>
      </w:r>
      <w:r>
        <w:rPr>
          <w:rFonts w:hint="eastAsia"/>
        </w:rPr>
        <w:t>可作为</w:t>
      </w:r>
      <w:r>
        <w:t>基于航空或卫星平台的高光谱</w:t>
      </w:r>
      <w:r>
        <w:rPr>
          <w:rFonts w:hint="eastAsia"/>
        </w:rPr>
        <w:t>地表水环境参数</w:t>
      </w:r>
      <w:r>
        <w:t>遥感反演</w:t>
      </w:r>
      <w:r>
        <w:rPr>
          <w:rFonts w:hint="eastAsia"/>
        </w:rPr>
        <w:t>的部分参考</w:t>
      </w:r>
      <w:r>
        <w:t>。</w:t>
      </w:r>
    </w:p>
    <w:p>
      <w:pPr>
        <w:pStyle w:val="108"/>
        <w:spacing w:before="312" w:after="312"/>
      </w:pPr>
      <w:bookmarkStart w:id="43" w:name="_Toc97191424"/>
      <w:bookmarkStart w:id="44" w:name="_Toc228978635"/>
      <w:bookmarkStart w:id="45" w:name="_Toc26986772"/>
      <w:bookmarkStart w:id="46" w:name="_Toc26718931"/>
      <w:bookmarkStart w:id="47" w:name="_Toc239680552"/>
      <w:bookmarkStart w:id="48" w:name="_Toc26986531"/>
      <w:r>
        <w:rPr>
          <w:rFonts w:hint="eastAsia"/>
        </w:rPr>
        <w:t>规范性引用文件</w:t>
      </w:r>
      <w:bookmarkEnd w:id="38"/>
      <w:bookmarkEnd w:id="39"/>
      <w:bookmarkEnd w:id="40"/>
      <w:bookmarkEnd w:id="41"/>
      <w:bookmarkEnd w:id="42"/>
      <w:bookmarkEnd w:id="43"/>
      <w:bookmarkEnd w:id="44"/>
      <w:bookmarkEnd w:id="45"/>
      <w:bookmarkEnd w:id="46"/>
      <w:bookmarkEnd w:id="47"/>
      <w:bookmarkEnd w:id="48"/>
    </w:p>
    <w:sdt>
      <w:sdtPr>
        <w:rPr>
          <w:rFonts w:hint="eastAsia"/>
        </w:rPr>
        <w:id w:val="715848253"/>
        <w:placeholder>
          <w:docPart w:val="5DF533BC3E1E41D9A9ACC88E805ED538"/>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pPr>
            <w:pStyle w:val="60"/>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pStyle w:val="60"/>
        <w:ind w:firstLine="420"/>
      </w:pPr>
      <w:r>
        <w:rPr>
          <w:rFonts w:hint="eastAsia"/>
        </w:rPr>
        <w:t>GB/T 4208-2017 外壳防护等级（IP代码）</w:t>
      </w:r>
    </w:p>
    <w:p>
      <w:pPr>
        <w:pStyle w:val="60"/>
        <w:ind w:firstLine="420"/>
      </w:pPr>
      <w:r>
        <w:rPr>
          <w:rFonts w:hint="eastAsia"/>
        </w:rPr>
        <w:t>GB/T 4883-2008 数据的统计处理和解释 正态样本离群值的判断和处理</w:t>
      </w:r>
    </w:p>
    <w:p>
      <w:pPr>
        <w:pStyle w:val="60"/>
        <w:ind w:firstLine="420"/>
      </w:pPr>
      <w:r>
        <w:rPr>
          <w:rFonts w:hint="eastAsia"/>
        </w:rPr>
        <w:t>GB 11893-1989 水质 总磷的测定 钼酸铵分光光度法</w:t>
      </w:r>
    </w:p>
    <w:p>
      <w:pPr>
        <w:pStyle w:val="60"/>
        <w:ind w:firstLine="420"/>
      </w:pPr>
      <w:r>
        <w:rPr>
          <w:rFonts w:hint="eastAsia"/>
        </w:rPr>
        <w:t>GB 11901-</w:t>
      </w:r>
      <w:r>
        <w:t>19</w:t>
      </w:r>
      <w:r>
        <w:rPr>
          <w:rFonts w:hint="eastAsia"/>
        </w:rPr>
        <w:t>89 水质 悬浮物的测定 重量法</w:t>
      </w:r>
    </w:p>
    <w:p>
      <w:pPr>
        <w:pStyle w:val="60"/>
        <w:ind w:firstLine="420"/>
      </w:pPr>
      <w:r>
        <w:rPr>
          <w:rFonts w:hint="eastAsia"/>
        </w:rPr>
        <w:t>GB</w:t>
      </w:r>
      <w:r>
        <w:t xml:space="preserve"> </w:t>
      </w:r>
      <w:r>
        <w:rPr>
          <w:rFonts w:hint="eastAsia"/>
        </w:rPr>
        <w:t>50093-2013</w:t>
      </w:r>
      <w:r>
        <w:t xml:space="preserve"> </w:t>
      </w:r>
      <w:r>
        <w:rPr>
          <w:rFonts w:hint="eastAsia"/>
        </w:rPr>
        <w:t>自动化仪表工程施工及质量验收规范</w:t>
      </w:r>
    </w:p>
    <w:p>
      <w:pPr>
        <w:pStyle w:val="60"/>
        <w:ind w:firstLine="420"/>
      </w:pPr>
      <w:r>
        <w:rPr>
          <w:rFonts w:hint="eastAsia"/>
        </w:rPr>
        <w:t>GB/T 12763.2-2007 海洋调查规范 第2部分：海洋水文观测</w:t>
      </w:r>
    </w:p>
    <w:p>
      <w:pPr>
        <w:pStyle w:val="60"/>
        <w:ind w:firstLine="420"/>
      </w:pPr>
      <w:r>
        <w:rPr>
          <w:rFonts w:hint="eastAsia"/>
        </w:rPr>
        <w:t>HJ 91.2-2022 地表水环境质量监测技术规范</w:t>
      </w:r>
    </w:p>
    <w:p>
      <w:pPr>
        <w:pStyle w:val="60"/>
        <w:ind w:firstLine="420"/>
      </w:pPr>
      <w:r>
        <w:rPr>
          <w:rFonts w:hint="eastAsia"/>
        </w:rPr>
        <w:t>HJ 506-2009 水质 溶解氧的测定 电化学探头法</w:t>
      </w:r>
    </w:p>
    <w:p>
      <w:pPr>
        <w:pStyle w:val="60"/>
        <w:ind w:firstLine="420"/>
      </w:pPr>
      <w:r>
        <w:rPr>
          <w:rFonts w:hint="eastAsia"/>
        </w:rPr>
        <w:t>HJ 636-2012 水质 总氮的测定 碱性过硫酸钾消解紫外分光光度法</w:t>
      </w:r>
    </w:p>
    <w:p>
      <w:pPr>
        <w:pStyle w:val="60"/>
        <w:ind w:firstLine="420"/>
      </w:pPr>
      <w:r>
        <w:rPr>
          <w:rFonts w:hint="eastAsia"/>
        </w:rPr>
        <w:t>HJ 897-2017 水质 叶绿素a的测定 分光光度法</w:t>
      </w:r>
    </w:p>
    <w:p>
      <w:pPr>
        <w:pStyle w:val="60"/>
        <w:ind w:firstLine="420"/>
      </w:pPr>
      <w:r>
        <w:rPr>
          <w:rFonts w:hint="eastAsia"/>
        </w:rPr>
        <w:t>HJ 1075-2019 水质 浊度的测定 浊度计法</w:t>
      </w:r>
    </w:p>
    <w:p>
      <w:pPr>
        <w:pStyle w:val="60"/>
        <w:ind w:firstLine="420"/>
      </w:pPr>
      <w:r>
        <w:rPr>
          <w:rFonts w:hint="eastAsia"/>
        </w:rPr>
        <w:t>HJ 1404-2024 地表水自动监测系统通信协议技术要求</w:t>
      </w:r>
    </w:p>
    <w:p>
      <w:pPr>
        <w:pStyle w:val="60"/>
        <w:ind w:firstLine="420"/>
      </w:pPr>
      <w:r>
        <w:rPr>
          <w:rFonts w:hint="eastAsia"/>
        </w:rPr>
        <w:t>SL 87-1994 透明度的测定（透明度计法、圆盘法）</w:t>
      </w:r>
    </w:p>
    <w:p>
      <w:pPr>
        <w:pStyle w:val="60"/>
        <w:ind w:firstLine="420"/>
      </w:pPr>
      <w:r>
        <w:t>HJ 212</w:t>
      </w:r>
      <w:r>
        <w:rPr>
          <w:rFonts w:hint="eastAsia"/>
        </w:rPr>
        <w:t xml:space="preserve">-2025 </w:t>
      </w:r>
      <w:r>
        <w:t>污染物自动监测监控系统数据传输技术要求</w:t>
      </w:r>
    </w:p>
    <w:p>
      <w:pPr>
        <w:pStyle w:val="60"/>
        <w:ind w:firstLine="420"/>
      </w:pPr>
      <w:r>
        <w:rPr>
          <w:rFonts w:hint="eastAsia"/>
        </w:rPr>
        <w:t>HJ 1446-2026 水质 高锰酸盐指数的测定 草酸钠还原碱性滴定法</w:t>
      </w:r>
    </w:p>
    <w:p>
      <w:pPr>
        <w:pStyle w:val="60"/>
        <w:ind w:firstLine="420"/>
      </w:pPr>
      <w:r>
        <w:rPr>
          <w:rFonts w:hint="eastAsia"/>
        </w:rPr>
        <w:t>HJ 915.1-2024 地表水水质自动监测站选址与基础设施建设技术要求</w:t>
      </w:r>
    </w:p>
    <w:p>
      <w:pPr>
        <w:pStyle w:val="60"/>
        <w:ind w:firstLine="420"/>
      </w:pPr>
    </w:p>
    <w:p>
      <w:pPr>
        <w:pStyle w:val="108"/>
        <w:spacing w:before="312" w:after="312"/>
      </w:pPr>
      <w:bookmarkStart w:id="49" w:name="_Toc228978636"/>
      <w:bookmarkEnd w:id="49"/>
      <w:bookmarkStart w:id="50" w:name="_Toc239587279"/>
      <w:bookmarkEnd w:id="50"/>
      <w:bookmarkStart w:id="51" w:name="_Toc228978679"/>
      <w:bookmarkEnd w:id="51"/>
      <w:bookmarkStart w:id="52" w:name="_Toc228978637"/>
      <w:bookmarkStart w:id="53" w:name="_Toc239680553"/>
      <w:bookmarkStart w:id="54" w:name="_Toc97191425"/>
      <w:r>
        <w:rPr>
          <w:rFonts w:hint="eastAsia"/>
          <w:szCs w:val="21"/>
        </w:rPr>
        <w:t>术语和定义</w:t>
      </w:r>
      <w:bookmarkEnd w:id="52"/>
      <w:bookmarkEnd w:id="53"/>
      <w:bookmarkEnd w:id="54"/>
    </w:p>
    <w:sdt>
      <w:sdtPr>
        <w:id w:val="-1909835108"/>
        <w:placeholder>
          <w:docPart w:val="0492C968E0154C9680326045EED6506E"/>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pPr>
            <w:pStyle w:val="60"/>
            <w:ind w:firstLine="420"/>
          </w:pPr>
          <w:bookmarkStart w:id="55" w:name="_Toc26986532"/>
          <w:bookmarkEnd w:id="55"/>
          <w:r>
            <w:t>下列术语和定义适用于本文件。</w:t>
          </w:r>
        </w:p>
      </w:sdtContent>
    </w:sdt>
    <w:p>
      <w:pPr>
        <w:pStyle w:val="227"/>
        <w:ind w:left="420" w:hanging="420" w:hangingChars="200"/>
        <w:rPr>
          <w:rFonts w:ascii="黑体" w:hAnsi="黑体" w:eastAsia="黑体"/>
        </w:rPr>
      </w:pPr>
      <w:r>
        <w:rPr>
          <w:rFonts w:ascii="黑体" w:hAnsi="黑体" w:eastAsia="黑体"/>
        </w:rPr>
        <w:br w:type="textWrapping"/>
      </w:r>
      <w:bookmarkStart w:id="56" w:name="OLE_LINK22"/>
      <w:r>
        <w:rPr>
          <w:rFonts w:hint="eastAsia" w:ascii="黑体" w:hAnsi="黑体" w:eastAsia="黑体"/>
        </w:rPr>
        <w:t xml:space="preserve">高光谱近感 hyperspectral proximal sensing </w:t>
      </w:r>
    </w:p>
    <w:p>
      <w:pPr>
        <w:pStyle w:val="60"/>
        <w:ind w:firstLine="420"/>
      </w:pPr>
      <w:r>
        <w:rPr>
          <w:rFonts w:hint="eastAsia"/>
        </w:rPr>
        <w:t>利用高光谱传感器在近距离观测范围内（通常为水面以上2 m</w:t>
      </w:r>
      <w:r>
        <w:rPr>
          <w:rFonts w:hint="eastAsia" w:hAnsi="宋体"/>
        </w:rPr>
        <w:t>～</w:t>
      </w:r>
      <w:r>
        <w:rPr>
          <w:rFonts w:hint="eastAsia"/>
        </w:rPr>
        <w:t>10 m），实时获取目标连续、窄波段光谱信息的技术。</w:t>
      </w:r>
    </w:p>
    <w:bookmarkEnd w:id="56"/>
    <w:p>
      <w:pPr>
        <w:pStyle w:val="227"/>
        <w:rPr>
          <w:rFonts w:ascii="黑体" w:hAnsi="黑体" w:eastAsia="黑体"/>
        </w:rPr>
      </w:pPr>
      <w:r>
        <w:rPr>
          <w:rFonts w:ascii="黑体" w:hAnsi="黑体" w:eastAsia="黑体"/>
        </w:rPr>
        <w:br w:type="textWrapping"/>
      </w:r>
      <w:r>
        <w:rPr>
          <w:rFonts w:hint="eastAsia" w:ascii="黑体" w:hAnsi="黑体" w:eastAsia="黑体"/>
        </w:rPr>
        <w:t>水环境参数反演 water</w:t>
      </w:r>
      <w:r>
        <w:rPr>
          <w:rFonts w:ascii="黑体" w:hAnsi="黑体" w:eastAsia="黑体"/>
        </w:rPr>
        <w:t xml:space="preserve"> environmental parameters</w:t>
      </w:r>
      <w:r>
        <w:rPr>
          <w:rFonts w:hint="eastAsia" w:ascii="黑体" w:hAnsi="黑体" w:eastAsia="黑体"/>
        </w:rPr>
        <w:t xml:space="preserve"> inversion</w:t>
      </w:r>
    </w:p>
    <w:p>
      <w:pPr>
        <w:pStyle w:val="60"/>
        <w:ind w:firstLine="420"/>
      </w:pPr>
      <w:r>
        <w:rPr>
          <w:rFonts w:hint="eastAsia"/>
        </w:rPr>
        <w:t>利用水体反射率光谱与准同步实测水环境参数之间建立的物理、半分析或数据驱动的定量模型，逆向推算出目标水环境参数浓度的遥感</w:t>
      </w:r>
      <w:r>
        <w:t>与近感</w:t>
      </w:r>
      <w:r>
        <w:rPr>
          <w:rFonts w:hint="eastAsia"/>
        </w:rPr>
        <w:t>技术过程。</w:t>
      </w:r>
    </w:p>
    <w:p>
      <w:pPr>
        <w:pStyle w:val="227"/>
        <w:ind w:left="420" w:hanging="420" w:hangingChars="200"/>
        <w:rPr>
          <w:rFonts w:ascii="黑体" w:hAnsi="黑体" w:eastAsia="黑体"/>
        </w:rPr>
      </w:pPr>
      <w:r>
        <w:rPr>
          <w:rFonts w:ascii="黑体" w:hAnsi="黑体" w:eastAsia="黑体"/>
        </w:rPr>
        <w:br w:type="textWrapping"/>
      </w:r>
      <w:r>
        <w:rPr>
          <w:rFonts w:hint="eastAsia" w:ascii="黑体" w:hAnsi="黑体" w:eastAsia="黑体"/>
        </w:rPr>
        <w:t xml:space="preserve">离水反射率 Water-leaving reflectance </w:t>
      </w:r>
    </w:p>
    <w:p>
      <w:pPr>
        <w:pStyle w:val="60"/>
        <w:ind w:firstLine="420"/>
      </w:pPr>
      <w:r>
        <w:rPr>
          <w:rFonts w:hint="eastAsia"/>
        </w:rPr>
        <w:t>水体离水辐亮度与水面入射辐照度之比，是表征是水体光学特性的核心物理量，也是高光谱近感反演水环境参数的基础输入量。</w:t>
      </w:r>
    </w:p>
    <w:p>
      <w:pPr>
        <w:pStyle w:val="227"/>
        <w:ind w:left="420" w:hanging="420" w:hangingChars="200"/>
        <w:rPr>
          <w:rFonts w:ascii="黑体" w:hAnsi="黑体" w:eastAsia="黑体"/>
        </w:rPr>
      </w:pPr>
      <w:r>
        <w:rPr>
          <w:rFonts w:ascii="黑体" w:hAnsi="黑体" w:eastAsia="黑体"/>
        </w:rPr>
        <w:br w:type="textWrapping"/>
      </w:r>
      <w:r>
        <w:rPr>
          <w:rFonts w:hint="eastAsia" w:ascii="黑体" w:hAnsi="黑体" w:eastAsia="黑体"/>
        </w:rPr>
        <w:t xml:space="preserve">训练数据集 training dataset </w:t>
      </w:r>
    </w:p>
    <w:p>
      <w:pPr>
        <w:pStyle w:val="60"/>
        <w:ind w:firstLine="420"/>
      </w:pPr>
      <w:r>
        <w:rPr>
          <w:rFonts w:hint="eastAsia"/>
        </w:rPr>
        <w:t>用于建立和训练水环境参数反演模型的数据子集。</w:t>
      </w:r>
      <w:r>
        <w:t>用于拟合模型参数和学习输入输出关系的数据子集</w:t>
      </w:r>
      <w:r>
        <w:rPr>
          <w:rFonts w:hint="eastAsia"/>
        </w:rPr>
        <w:t>。</w:t>
      </w:r>
    </w:p>
    <w:p>
      <w:pPr>
        <w:pStyle w:val="227"/>
        <w:ind w:left="420" w:hanging="420" w:hangingChars="200"/>
        <w:rPr>
          <w:rFonts w:ascii="黑体" w:hAnsi="黑体" w:eastAsia="黑体"/>
        </w:rPr>
      </w:pPr>
      <w:r>
        <w:rPr>
          <w:rFonts w:ascii="黑体" w:hAnsi="黑体" w:eastAsia="黑体"/>
        </w:rPr>
        <w:br w:type="textWrapping"/>
      </w:r>
      <w:r>
        <w:rPr>
          <w:rFonts w:hint="eastAsia" w:ascii="黑体" w:hAnsi="黑体" w:eastAsia="黑体"/>
        </w:rPr>
        <w:t xml:space="preserve">验证数据集 validation dataset </w:t>
      </w:r>
    </w:p>
    <w:p>
      <w:pPr>
        <w:pStyle w:val="60"/>
        <w:ind w:firstLine="420"/>
      </w:pPr>
      <w:r>
        <w:rPr>
          <w:rFonts w:hint="eastAsia"/>
        </w:rPr>
        <w:t>用于调优超参数、判断水环境参数反演模型是否过拟合或欠拟合，以及模型选择的数据子集。</w:t>
      </w:r>
    </w:p>
    <w:p>
      <w:pPr>
        <w:pStyle w:val="227"/>
        <w:ind w:left="420" w:hanging="420" w:hangingChars="200"/>
        <w:rPr>
          <w:rFonts w:ascii="黑体" w:hAnsi="黑体" w:eastAsia="黑体"/>
        </w:rPr>
      </w:pPr>
      <w:r>
        <w:rPr>
          <w:rFonts w:ascii="黑体" w:hAnsi="黑体" w:eastAsia="黑体"/>
        </w:rPr>
        <w:br w:type="textWrapping"/>
      </w:r>
      <w:r>
        <w:rPr>
          <w:rFonts w:hint="eastAsia" w:ascii="黑体" w:hAnsi="黑体" w:eastAsia="黑体"/>
        </w:rPr>
        <w:t xml:space="preserve">测试数据集 testing dataset </w:t>
      </w:r>
    </w:p>
    <w:p>
      <w:pPr>
        <w:pStyle w:val="60"/>
        <w:ind w:firstLine="420"/>
      </w:pPr>
      <w:r>
        <w:rPr>
          <w:rFonts w:hint="eastAsia"/>
        </w:rPr>
        <w:t>在模型训练与调优完成后，用于对模型最终性能进行独立、客观评估的数据子集。</w:t>
      </w:r>
      <w:r>
        <w:t>在模型结构、特征和超参数全部确定后，仅用于一次性评估最终模型泛化性能的数据子集</w:t>
      </w:r>
      <w:r>
        <w:rPr>
          <w:rFonts w:hint="eastAsia"/>
        </w:rPr>
        <w:t>。</w:t>
      </w:r>
    </w:p>
    <w:p>
      <w:pPr>
        <w:pStyle w:val="108"/>
        <w:spacing w:before="312" w:after="312"/>
      </w:pPr>
      <w:bookmarkStart w:id="57" w:name="_Toc239680554"/>
      <w:r>
        <w:rPr>
          <w:rFonts w:hint="eastAsia"/>
        </w:rPr>
        <w:t>总体要求和原则</w:t>
      </w:r>
      <w:bookmarkEnd w:id="57"/>
    </w:p>
    <w:p>
      <w:pPr>
        <w:pStyle w:val="109"/>
        <w:spacing w:before="156" w:after="156"/>
      </w:pPr>
      <w:bookmarkStart w:id="58" w:name="_Toc239680555"/>
      <w:r>
        <w:rPr>
          <w:rFonts w:hint="eastAsia"/>
        </w:rPr>
        <w:t>总体要求</w:t>
      </w:r>
      <w:bookmarkEnd w:id="58"/>
    </w:p>
    <w:p>
      <w:pPr>
        <w:pStyle w:val="60"/>
        <w:ind w:firstLine="420"/>
      </w:pPr>
      <w:r>
        <w:t>开展高光谱近感地表水环境参数反演，应满足以下总体要求：</w:t>
      </w:r>
    </w:p>
    <w:p>
      <w:pPr>
        <w:pStyle w:val="136"/>
      </w:pPr>
      <w:r>
        <w:t>实施前应明确监测水体、目标参数、空间范围、时间范围、输出频次和预期用途，并根据水体光学特性及平台条件确定设备和技术方案</w:t>
      </w:r>
      <w:r>
        <w:rPr>
          <w:rFonts w:hint="eastAsia"/>
        </w:rPr>
        <w:t>；</w:t>
      </w:r>
    </w:p>
    <w:p>
      <w:pPr>
        <w:pStyle w:val="136"/>
      </w:pPr>
      <w:r>
        <w:t>系统应具备光谱采集、辅助环境信息记录、数据存储与传输、数据预处理、模型计算、质量控制和结果输出能力，各环节的数据、参数及版本应可追溯</w:t>
      </w:r>
      <w:r>
        <w:rPr>
          <w:rFonts w:hint="eastAsia"/>
        </w:rPr>
        <w:t>；</w:t>
      </w:r>
    </w:p>
    <w:p>
      <w:pPr>
        <w:pStyle w:val="136"/>
      </w:pPr>
      <w:r>
        <w:t>用于建模、验证和测试的实测水环境</w:t>
      </w:r>
      <w:r>
        <w:rPr>
          <w:rFonts w:hint="eastAsia"/>
        </w:rPr>
        <w:t>参数</w:t>
      </w:r>
      <w:r>
        <w:t>数据应采用现行标准方法获取；光谱观测与水样采集应在观测对象、空间位置和时间上保持一致</w:t>
      </w:r>
      <w:r>
        <w:rPr>
          <w:rFonts w:hint="eastAsia"/>
        </w:rPr>
        <w:t>；</w:t>
      </w:r>
    </w:p>
    <w:p>
      <w:pPr>
        <w:pStyle w:val="136"/>
      </w:pPr>
      <w:r>
        <w:t>反演模型应在规定的水体类型、季节、水文条件、参数浓度范围、设备状态和观测几何范围内使用。输入条件超出模型适用范围时，应标记为待验证数据，经补充验证合格后方可发布；</w:t>
      </w:r>
    </w:p>
    <w:p>
      <w:pPr>
        <w:pStyle w:val="136"/>
      </w:pPr>
      <w:r>
        <w:t>反演结果可用于连续监测、趋势分析和异常筛查；用于地表水环境</w:t>
      </w:r>
      <w:r>
        <w:rPr>
          <w:rFonts w:hint="eastAsia"/>
        </w:rPr>
        <w:t>质量</w:t>
      </w:r>
      <w:r>
        <w:t>评价、考核或执法判定时，应以国家或行业规定的标准监测方法所得结果为依据。</w:t>
      </w:r>
    </w:p>
    <w:p>
      <w:pPr>
        <w:pStyle w:val="109"/>
        <w:spacing w:before="156" w:after="156"/>
      </w:pPr>
      <w:bookmarkStart w:id="59" w:name="_Toc239680556"/>
      <w:r>
        <w:rPr>
          <w:rFonts w:hint="eastAsia"/>
        </w:rPr>
        <w:t>总体原则</w:t>
      </w:r>
      <w:bookmarkEnd w:id="59"/>
    </w:p>
    <w:p>
      <w:pPr>
        <w:pStyle w:val="60"/>
        <w:ind w:firstLine="420"/>
      </w:pPr>
      <w:r>
        <w:rPr>
          <w:rFonts w:hint="eastAsia"/>
          <w:color w:val="000000"/>
          <w:szCs w:val="21"/>
          <w:shd w:val="clear" w:color="auto" w:fill="FFFFFF"/>
        </w:rPr>
        <w:t>技术实施应遵循以下原则：</w:t>
      </w:r>
    </w:p>
    <w:p>
      <w:pPr>
        <w:pStyle w:val="136"/>
      </w:pPr>
      <w:r>
        <w:t>科学性原则。参数选择、光谱特征构建和模型方法应有水体光学机理、实测数据或验证试验支撑，不应仅以训练数据集的拟合效果作为模型选择依据；</w:t>
      </w:r>
    </w:p>
    <w:p>
      <w:pPr>
        <w:pStyle w:val="136"/>
      </w:pPr>
      <w:r>
        <w:t>代表性原则。点位和样本应覆盖目标水体的主要空间单元、季节、水文过程及水环境</w:t>
      </w:r>
      <w:r>
        <w:rPr>
          <w:rFonts w:hint="eastAsia"/>
        </w:rPr>
        <w:t>参数</w:t>
      </w:r>
      <w:r>
        <w:t>变化范围，并避免岸边反射、底部反射、阴影和漂浮物等非目标信号</w:t>
      </w:r>
      <w:r>
        <w:rPr>
          <w:rFonts w:hint="eastAsia"/>
        </w:rPr>
        <w:t>；</w:t>
      </w:r>
    </w:p>
    <w:p>
      <w:pPr>
        <w:pStyle w:val="136"/>
      </w:pPr>
      <w:r>
        <w:t>同步性和可比性原则。实测水环境</w:t>
      </w:r>
      <w:r>
        <w:rPr>
          <w:rFonts w:hint="eastAsia"/>
        </w:rPr>
        <w:t>参数</w:t>
      </w:r>
      <w:r>
        <w:t>数据与高光谱数据应按统一观测对象和规定时间窗口匹配，建模、验证及业务应用的设备状态、预处理流程和数据单位应保持一致</w:t>
      </w:r>
      <w:r>
        <w:rPr>
          <w:rFonts w:hint="eastAsia"/>
        </w:rPr>
        <w:t>；</w:t>
      </w:r>
    </w:p>
    <w:p>
      <w:pPr>
        <w:pStyle w:val="136"/>
      </w:pPr>
      <w:r>
        <w:t>全过程质量控制原则。应对设备校准、现场采集、实验室测定、数据审核、模型训练、独立检验、部署运行和模型更新实施质量控制，并保留完整记录；</w:t>
      </w:r>
    </w:p>
    <w:p>
      <w:pPr>
        <w:pStyle w:val="136"/>
      </w:pPr>
      <w:r>
        <w:t>适用性和持续改进原则。应依据水体类型、目标参数及应用目的选择模型并定期评估性能；当设备状态、水体光学特性或模型精度发生显著变化时，应重新验证或更新模型。</w:t>
      </w:r>
    </w:p>
    <w:p>
      <w:pPr>
        <w:pStyle w:val="108"/>
        <w:spacing w:before="312" w:after="312"/>
      </w:pPr>
      <w:bookmarkStart w:id="60" w:name="_Toc239680557"/>
      <w:bookmarkStart w:id="61" w:name="_Toc228978638"/>
      <w:r>
        <w:rPr>
          <w:rFonts w:hint="eastAsia"/>
        </w:rPr>
        <w:t>技术流程</w:t>
      </w:r>
      <w:bookmarkEnd w:id="60"/>
      <w:bookmarkEnd w:id="61"/>
    </w:p>
    <w:p>
      <w:pPr>
        <w:pStyle w:val="60"/>
        <w:ind w:firstLine="420"/>
      </w:pPr>
      <w:r>
        <w:t>高光谱近感地表水环境参数反演技术流程见图</w:t>
      </w:r>
      <w:r>
        <w:rPr>
          <w:rFonts w:hint="eastAsia"/>
        </w:rPr>
        <w:t>1，</w:t>
      </w:r>
      <w:r>
        <w:t>包含设备选型与布设、</w:t>
      </w:r>
      <w:r>
        <w:rPr>
          <w:rFonts w:hint="eastAsia"/>
        </w:rPr>
        <w:t>同步</w:t>
      </w:r>
      <w:r>
        <w:t>数据采集与预处理、反演模型构建与应用、质量控制与评估四个阶段</w:t>
      </w:r>
      <w:r>
        <w:rPr>
          <w:rFonts w:hint="eastAsia"/>
        </w:rPr>
        <w:t>。</w:t>
      </w:r>
    </w:p>
    <w:p>
      <w:pPr>
        <w:pStyle w:val="60"/>
        <w:ind w:firstLine="0" w:firstLineChars="0"/>
        <w:jc w:val="center"/>
      </w:pPr>
      <w:r>
        <w:drawing>
          <wp:inline distT="0" distB="0" distL="0" distR="0">
            <wp:extent cx="3743325" cy="433070"/>
            <wp:effectExtent l="0" t="0" r="9525" b="5080"/>
            <wp:docPr id="1026152158"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26152158" name="图片 3"/>
                    <pic:cNvPicPr>
                      <a:picLocks noChangeAspect="true" noChangeArrowheads="true"/>
                    </pic:cNvPicPr>
                  </pic:nvPicPr>
                  <pic:blipFill>
                    <a:blip r:embed="rId41">
                      <a:extLst>
                        <a:ext uri="{28A0092B-C50C-407E-A947-70E740481C1C}">
                          <a14:useLocalDpi xmlns:a14="http://schemas.microsoft.com/office/drawing/2010/main" val="false"/>
                        </a:ext>
                      </a:extLst>
                    </a:blip>
                    <a:srcRect/>
                    <a:stretch>
                      <a:fillRect/>
                    </a:stretch>
                  </pic:blipFill>
                  <pic:spPr>
                    <a:xfrm>
                      <a:off x="0" y="0"/>
                      <a:ext cx="3743325" cy="433070"/>
                    </a:xfrm>
                    <a:prstGeom prst="rect">
                      <a:avLst/>
                    </a:prstGeom>
                    <a:noFill/>
                  </pic:spPr>
                </pic:pic>
              </a:graphicData>
            </a:graphic>
          </wp:inline>
        </w:drawing>
      </w:r>
    </w:p>
    <w:p>
      <w:pPr>
        <w:pStyle w:val="118"/>
        <w:spacing w:before="156" w:after="156"/>
      </w:pPr>
      <w:r>
        <w:rPr>
          <w:rFonts w:hint="eastAsia"/>
        </w:rPr>
        <w:t>高光谱近感地表水环境参数反演技术流程图</w:t>
      </w:r>
    </w:p>
    <w:p>
      <w:pPr>
        <w:pStyle w:val="108"/>
        <w:spacing w:before="312" w:after="312"/>
      </w:pPr>
      <w:bookmarkStart w:id="62" w:name="_Toc228978639"/>
      <w:bookmarkStart w:id="63" w:name="_Toc239680558"/>
      <w:r>
        <w:rPr>
          <w:rFonts w:hint="eastAsia"/>
        </w:rPr>
        <w:t>设备选型与布设</w:t>
      </w:r>
      <w:bookmarkEnd w:id="62"/>
      <w:bookmarkEnd w:id="63"/>
    </w:p>
    <w:p>
      <w:pPr>
        <w:pStyle w:val="109"/>
        <w:spacing w:before="156" w:after="156"/>
      </w:pPr>
      <w:bookmarkStart w:id="64" w:name="_Toc239587286"/>
      <w:bookmarkEnd w:id="64"/>
      <w:bookmarkStart w:id="65" w:name="_Toc239680559"/>
      <w:bookmarkStart w:id="66" w:name="_Toc228978640"/>
      <w:r>
        <w:rPr>
          <w:rFonts w:hint="eastAsia"/>
        </w:rPr>
        <w:t>选型要求</w:t>
      </w:r>
      <w:bookmarkEnd w:id="65"/>
    </w:p>
    <w:p>
      <w:pPr>
        <w:pStyle w:val="69"/>
        <w:spacing w:before="156" w:after="156"/>
      </w:pPr>
      <w:r>
        <w:rPr>
          <w:rFonts w:hint="eastAsia"/>
        </w:rPr>
        <w:t>光谱性能要求</w:t>
      </w:r>
    </w:p>
    <w:bookmarkEnd w:id="66"/>
    <w:p>
      <w:pPr>
        <w:pStyle w:val="60"/>
        <w:ind w:firstLine="420"/>
      </w:pPr>
      <w:r>
        <w:t>应根据目标水体、目标参数、观测频次和部署方式选择高光谱</w:t>
      </w:r>
      <w:r>
        <w:rPr>
          <w:rFonts w:hint="eastAsia"/>
        </w:rPr>
        <w:t>近感</w:t>
      </w:r>
      <w:r>
        <w:t>观测设备。设备波段</w:t>
      </w:r>
      <w:r>
        <w:rPr>
          <w:rFonts w:hint="eastAsia"/>
        </w:rPr>
        <w:t>设置</w:t>
      </w:r>
      <w:r>
        <w:t>、</w:t>
      </w:r>
      <w:r>
        <w:rPr>
          <w:rFonts w:hint="eastAsia"/>
        </w:rPr>
        <w:t>光谱分辨率</w:t>
      </w:r>
      <w:r>
        <w:t>、</w:t>
      </w:r>
      <w:r>
        <w:rPr>
          <w:rFonts w:hint="eastAsia"/>
        </w:rPr>
        <w:t>视场角等</w:t>
      </w:r>
      <w:r>
        <w:t>应满足表1要求，并应通过到货验收或型式试验确认。</w:t>
      </w:r>
    </w:p>
    <w:p>
      <w:pPr>
        <w:pStyle w:val="116"/>
        <w:spacing w:before="156" w:after="156"/>
      </w:pPr>
      <w:r>
        <w:rPr>
          <w:rFonts w:hint="eastAsia"/>
        </w:rPr>
        <w:t>高光谱近感设备性能参数要求</w:t>
      </w:r>
    </w:p>
    <w:tbl>
      <w:tblPr>
        <w:tblStyle w:val="29"/>
        <w:tblW w:w="5000" w:type="pct"/>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blLayout w:type="autofit"/>
        <w:tblCellMar>
          <w:top w:w="15" w:type="dxa"/>
          <w:left w:w="0" w:type="dxa"/>
          <w:bottom w:w="15" w:type="dxa"/>
          <w:right w:w="0" w:type="dxa"/>
        </w:tblCellMar>
      </w:tblPr>
      <w:tblGrid>
        <w:gridCol w:w="1655"/>
        <w:gridCol w:w="3146"/>
        <w:gridCol w:w="4573"/>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15" w:type="dxa"/>
            <w:left w:w="0" w:type="dxa"/>
            <w:bottom w:w="15" w:type="dxa"/>
            <w:right w:w="0" w:type="dxa"/>
          </w:tblCellMar>
        </w:tblPrEx>
        <w:trPr>
          <w:trHeight w:val="283" w:hRule="atLeast"/>
          <w:tblHeader/>
          <w:jc w:val="center"/>
        </w:trPr>
        <w:tc>
          <w:tcPr>
            <w:tcW w:w="883" w:type="pct"/>
            <w:tcBorders>
              <w:top w:val="single" w:color="000000" w:sz="8" w:space="0"/>
              <w:bottom w:val="single" w:color="000000" w:sz="8" w:space="0"/>
            </w:tcBorders>
            <w:shd w:val="clear" w:color="auto" w:fill="FFFFFF"/>
            <w:vAlign w:val="center"/>
          </w:tcPr>
          <w:p>
            <w:pPr>
              <w:pStyle w:val="15"/>
              <w:ind w:left="0" w:leftChars="0" w:firstLine="0" w:firstLineChars="0"/>
              <w:jc w:val="center"/>
              <w:rPr>
                <w:sz w:val="18"/>
              </w:rPr>
            </w:pPr>
            <w:r>
              <w:rPr>
                <w:rFonts w:hint="eastAsia"/>
                <w:sz w:val="18"/>
              </w:rPr>
              <w:t>序号</w:t>
            </w:r>
          </w:p>
        </w:tc>
        <w:tc>
          <w:tcPr>
            <w:tcW w:w="1678" w:type="pct"/>
            <w:tcBorders>
              <w:top w:val="single" w:color="000000" w:sz="8" w:space="0"/>
              <w:bottom w:val="single" w:color="000000" w:sz="8" w:space="0"/>
            </w:tcBorders>
            <w:shd w:val="clear" w:color="auto" w:fill="FFFFFF"/>
            <w:tcMar>
              <w:left w:w="0" w:type="dxa"/>
            </w:tcMar>
            <w:vAlign w:val="center"/>
          </w:tcPr>
          <w:p>
            <w:pPr>
              <w:pStyle w:val="15"/>
              <w:ind w:left="0" w:leftChars="0" w:firstLine="0" w:firstLineChars="0"/>
              <w:jc w:val="center"/>
              <w:rPr>
                <w:sz w:val="18"/>
              </w:rPr>
            </w:pPr>
            <w:r>
              <w:rPr>
                <w:rFonts w:hint="eastAsia"/>
                <w:sz w:val="18"/>
              </w:rPr>
              <w:t>性能参数</w:t>
            </w:r>
          </w:p>
        </w:tc>
        <w:tc>
          <w:tcPr>
            <w:tcW w:w="2439" w:type="pct"/>
            <w:tcBorders>
              <w:top w:val="single" w:color="000000" w:sz="8" w:space="0"/>
              <w:bottom w:val="single" w:color="000000" w:sz="8" w:space="0"/>
            </w:tcBorders>
            <w:shd w:val="clear" w:color="auto" w:fill="FFFFFF"/>
            <w:vAlign w:val="center"/>
          </w:tcPr>
          <w:p>
            <w:pPr>
              <w:pStyle w:val="15"/>
              <w:ind w:left="0" w:leftChars="0" w:firstLine="0" w:firstLineChars="0"/>
              <w:jc w:val="center"/>
              <w:rPr>
                <w:sz w:val="18"/>
              </w:rPr>
            </w:pPr>
            <w:r>
              <w:rPr>
                <w:rFonts w:hint="eastAsia"/>
                <w:sz w:val="18"/>
              </w:rPr>
              <w:t>参数值</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blCellMar>
            <w:top w:w="15" w:type="dxa"/>
            <w:left w:w="0" w:type="dxa"/>
            <w:bottom w:w="15" w:type="dxa"/>
            <w:right w:w="0" w:type="dxa"/>
          </w:tblCellMar>
        </w:tblPrEx>
        <w:trPr>
          <w:trHeight w:val="283" w:hRule="atLeast"/>
          <w:jc w:val="center"/>
        </w:trPr>
        <w:tc>
          <w:tcPr>
            <w:tcW w:w="883" w:type="pct"/>
            <w:tcBorders>
              <w:top w:val="single" w:color="000000" w:sz="8" w:space="0"/>
            </w:tcBorders>
            <w:shd w:val="clear" w:color="auto" w:fill="FFFFFF"/>
            <w:vAlign w:val="center"/>
          </w:tcPr>
          <w:p>
            <w:pPr>
              <w:pStyle w:val="15"/>
              <w:ind w:left="0" w:leftChars="0" w:firstLine="0" w:firstLineChars="0"/>
              <w:jc w:val="center"/>
              <w:rPr>
                <w:sz w:val="18"/>
              </w:rPr>
            </w:pPr>
            <w:r>
              <w:rPr>
                <w:rFonts w:hint="eastAsia"/>
                <w:sz w:val="18"/>
              </w:rPr>
              <w:t>1</w:t>
            </w:r>
          </w:p>
        </w:tc>
        <w:tc>
          <w:tcPr>
            <w:tcW w:w="1678" w:type="pct"/>
            <w:tcBorders>
              <w:top w:val="single" w:color="000000" w:sz="8" w:space="0"/>
            </w:tcBorders>
            <w:shd w:val="clear" w:color="auto" w:fill="FFFFFF"/>
            <w:tcMar>
              <w:left w:w="0" w:type="dxa"/>
            </w:tcMar>
            <w:vAlign w:val="center"/>
          </w:tcPr>
          <w:p>
            <w:pPr>
              <w:pStyle w:val="15"/>
              <w:ind w:left="0" w:leftChars="0" w:firstLine="0" w:firstLineChars="0"/>
              <w:jc w:val="center"/>
              <w:rPr>
                <w:sz w:val="18"/>
              </w:rPr>
            </w:pPr>
            <w:r>
              <w:rPr>
                <w:rFonts w:hint="eastAsia"/>
                <w:sz w:val="18"/>
              </w:rPr>
              <w:t>波长范围</w:t>
            </w:r>
          </w:p>
        </w:tc>
        <w:tc>
          <w:tcPr>
            <w:tcW w:w="2439" w:type="pct"/>
            <w:tcBorders>
              <w:top w:val="single" w:color="000000" w:sz="8" w:space="0"/>
            </w:tcBorders>
            <w:shd w:val="clear" w:color="auto" w:fill="FFFFFF"/>
            <w:vAlign w:val="center"/>
          </w:tcPr>
          <w:p>
            <w:pPr>
              <w:pStyle w:val="15"/>
              <w:ind w:left="0" w:leftChars="0" w:firstLine="0" w:firstLineChars="0"/>
              <w:jc w:val="center"/>
              <w:rPr>
                <w:sz w:val="18"/>
              </w:rPr>
            </w:pPr>
            <w:r>
              <w:rPr>
                <w:sz w:val="18"/>
              </w:rPr>
              <w:t xml:space="preserve">400 nm </w:t>
            </w:r>
            <w:r>
              <w:rPr>
                <w:rFonts w:hint="eastAsia" w:hAnsi="宋体"/>
                <w:sz w:val="18"/>
                <w:szCs w:val="18"/>
              </w:rPr>
              <w:t>～</w:t>
            </w:r>
            <w:r>
              <w:rPr>
                <w:sz w:val="18"/>
              </w:rPr>
              <w:t xml:space="preserve"> 1000 nm</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blCellMar>
            <w:top w:w="15" w:type="dxa"/>
            <w:left w:w="0" w:type="dxa"/>
            <w:bottom w:w="15" w:type="dxa"/>
            <w:right w:w="0" w:type="dxa"/>
          </w:tblCellMar>
        </w:tblPrEx>
        <w:trPr>
          <w:trHeight w:val="283" w:hRule="atLeast"/>
          <w:jc w:val="center"/>
        </w:trPr>
        <w:tc>
          <w:tcPr>
            <w:tcW w:w="883" w:type="pct"/>
            <w:shd w:val="clear" w:color="auto" w:fill="FFFFFF"/>
            <w:vAlign w:val="center"/>
          </w:tcPr>
          <w:p>
            <w:pPr>
              <w:pStyle w:val="15"/>
              <w:ind w:left="0" w:leftChars="0" w:firstLine="0" w:firstLineChars="0"/>
              <w:jc w:val="center"/>
              <w:rPr>
                <w:sz w:val="18"/>
              </w:rPr>
            </w:pPr>
            <w:r>
              <w:rPr>
                <w:rFonts w:hint="eastAsia"/>
                <w:sz w:val="18"/>
              </w:rPr>
              <w:t>2</w:t>
            </w:r>
          </w:p>
        </w:tc>
        <w:tc>
          <w:tcPr>
            <w:tcW w:w="1678" w:type="pct"/>
            <w:shd w:val="clear" w:color="auto" w:fill="FFFFFF"/>
            <w:tcMar>
              <w:left w:w="0" w:type="dxa"/>
            </w:tcMar>
            <w:vAlign w:val="center"/>
          </w:tcPr>
          <w:p>
            <w:pPr>
              <w:pStyle w:val="15"/>
              <w:ind w:left="0" w:leftChars="0" w:firstLine="0" w:firstLineChars="0"/>
              <w:jc w:val="center"/>
              <w:rPr>
                <w:sz w:val="18"/>
              </w:rPr>
            </w:pPr>
            <w:r>
              <w:rPr>
                <w:rFonts w:hint="eastAsia"/>
                <w:sz w:val="18"/>
              </w:rPr>
              <w:t>光谱分辨率</w:t>
            </w:r>
          </w:p>
        </w:tc>
        <w:tc>
          <w:tcPr>
            <w:tcW w:w="2439" w:type="pct"/>
            <w:shd w:val="clear" w:color="auto" w:fill="FFFFFF"/>
            <w:vAlign w:val="center"/>
          </w:tcPr>
          <w:p>
            <w:pPr>
              <w:pStyle w:val="15"/>
              <w:ind w:left="0" w:leftChars="0" w:firstLine="0" w:firstLineChars="0"/>
              <w:jc w:val="center"/>
              <w:rPr>
                <w:sz w:val="18"/>
              </w:rPr>
            </w:pPr>
            <w:r>
              <w:rPr>
                <w:rFonts w:hint="eastAsia"/>
                <w:sz w:val="18"/>
              </w:rPr>
              <w:t>≤10 nm</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blCellMar>
            <w:top w:w="15" w:type="dxa"/>
            <w:left w:w="0" w:type="dxa"/>
            <w:bottom w:w="15" w:type="dxa"/>
            <w:right w:w="0" w:type="dxa"/>
          </w:tblCellMar>
        </w:tblPrEx>
        <w:trPr>
          <w:trHeight w:val="283" w:hRule="atLeast"/>
          <w:jc w:val="center"/>
        </w:trPr>
        <w:tc>
          <w:tcPr>
            <w:tcW w:w="883" w:type="pct"/>
            <w:shd w:val="clear" w:color="auto" w:fill="FFFFFF"/>
            <w:vAlign w:val="center"/>
          </w:tcPr>
          <w:p>
            <w:pPr>
              <w:pStyle w:val="15"/>
              <w:ind w:left="0" w:leftChars="0" w:firstLine="0" w:firstLineChars="0"/>
              <w:jc w:val="center"/>
              <w:rPr>
                <w:sz w:val="18"/>
              </w:rPr>
            </w:pPr>
            <w:r>
              <w:rPr>
                <w:rFonts w:hint="eastAsia"/>
                <w:sz w:val="18"/>
              </w:rPr>
              <w:t>3</w:t>
            </w:r>
          </w:p>
        </w:tc>
        <w:tc>
          <w:tcPr>
            <w:tcW w:w="1678" w:type="pct"/>
            <w:shd w:val="clear" w:color="auto" w:fill="FFFFFF"/>
            <w:tcMar>
              <w:left w:w="0" w:type="dxa"/>
            </w:tcMar>
            <w:vAlign w:val="center"/>
          </w:tcPr>
          <w:p>
            <w:pPr>
              <w:pStyle w:val="15"/>
              <w:ind w:left="0" w:leftChars="0" w:firstLine="0" w:firstLineChars="0"/>
              <w:jc w:val="center"/>
              <w:rPr>
                <w:sz w:val="18"/>
              </w:rPr>
            </w:pPr>
            <w:r>
              <w:rPr>
                <w:rFonts w:hint="eastAsia"/>
                <w:sz w:val="18"/>
              </w:rPr>
              <w:t>时间分辨率</w:t>
            </w:r>
          </w:p>
        </w:tc>
        <w:tc>
          <w:tcPr>
            <w:tcW w:w="2439" w:type="pct"/>
            <w:shd w:val="clear" w:color="auto" w:fill="FFFFFF"/>
            <w:vAlign w:val="center"/>
          </w:tcPr>
          <w:p>
            <w:pPr>
              <w:pStyle w:val="15"/>
              <w:ind w:left="0" w:leftChars="0" w:firstLine="0" w:firstLineChars="0"/>
              <w:jc w:val="center"/>
              <w:rPr>
                <w:sz w:val="18"/>
              </w:rPr>
            </w:pPr>
            <w:bookmarkStart w:id="67" w:name="OLE_LINK35"/>
            <w:r>
              <w:rPr>
                <w:rFonts w:hint="eastAsia"/>
                <w:sz w:val="18"/>
              </w:rPr>
              <w:t>≤5 min</w:t>
            </w:r>
            <w:bookmarkEnd w:id="67"/>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blCellMar>
            <w:top w:w="15" w:type="dxa"/>
            <w:left w:w="0" w:type="dxa"/>
            <w:bottom w:w="15" w:type="dxa"/>
            <w:right w:w="0" w:type="dxa"/>
          </w:tblCellMar>
        </w:tblPrEx>
        <w:trPr>
          <w:trHeight w:val="283" w:hRule="atLeast"/>
          <w:jc w:val="center"/>
        </w:trPr>
        <w:tc>
          <w:tcPr>
            <w:tcW w:w="883" w:type="pct"/>
            <w:shd w:val="clear" w:color="auto" w:fill="FFFFFF"/>
            <w:vAlign w:val="center"/>
          </w:tcPr>
          <w:p>
            <w:pPr>
              <w:pStyle w:val="15"/>
              <w:ind w:left="0" w:leftChars="0" w:firstLine="0" w:firstLineChars="0"/>
              <w:jc w:val="center"/>
              <w:rPr>
                <w:sz w:val="18"/>
              </w:rPr>
            </w:pPr>
            <w:r>
              <w:rPr>
                <w:rFonts w:hint="eastAsia"/>
                <w:sz w:val="18"/>
              </w:rPr>
              <w:t>4</w:t>
            </w:r>
          </w:p>
        </w:tc>
        <w:tc>
          <w:tcPr>
            <w:tcW w:w="1678" w:type="pct"/>
            <w:shd w:val="clear" w:color="auto" w:fill="FFFFFF"/>
            <w:tcMar>
              <w:left w:w="0" w:type="dxa"/>
            </w:tcMar>
            <w:vAlign w:val="center"/>
          </w:tcPr>
          <w:p>
            <w:pPr>
              <w:pStyle w:val="15"/>
              <w:ind w:left="0" w:leftChars="0" w:firstLine="0" w:firstLineChars="0"/>
              <w:jc w:val="center"/>
              <w:rPr>
                <w:sz w:val="18"/>
              </w:rPr>
            </w:pPr>
            <w:r>
              <w:rPr>
                <w:rFonts w:hint="eastAsia"/>
                <w:sz w:val="18"/>
              </w:rPr>
              <w:t>视场角</w:t>
            </w:r>
          </w:p>
        </w:tc>
        <w:tc>
          <w:tcPr>
            <w:tcW w:w="2439" w:type="pct"/>
            <w:shd w:val="clear" w:color="auto" w:fill="FFFFFF"/>
            <w:vAlign w:val="center"/>
          </w:tcPr>
          <w:p>
            <w:pPr>
              <w:pStyle w:val="15"/>
              <w:ind w:left="0" w:leftChars="0" w:firstLine="0" w:firstLineChars="0"/>
              <w:jc w:val="center"/>
              <w:rPr>
                <w:sz w:val="18"/>
              </w:rPr>
            </w:pPr>
            <w:r>
              <w:rPr>
                <w:rFonts w:hint="eastAsia"/>
                <w:sz w:val="18"/>
              </w:rPr>
              <w:t>≤10</w:t>
            </w:r>
            <w:r>
              <w:rPr>
                <w:sz w:val="18"/>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blCellMar>
            <w:top w:w="15" w:type="dxa"/>
            <w:left w:w="0" w:type="dxa"/>
            <w:bottom w:w="15" w:type="dxa"/>
            <w:right w:w="0" w:type="dxa"/>
          </w:tblCellMar>
        </w:tblPrEx>
        <w:trPr>
          <w:trHeight w:val="283" w:hRule="atLeast"/>
          <w:jc w:val="center"/>
        </w:trPr>
        <w:tc>
          <w:tcPr>
            <w:tcW w:w="883" w:type="pct"/>
            <w:shd w:val="clear" w:color="auto" w:fill="FFFFFF"/>
            <w:vAlign w:val="center"/>
          </w:tcPr>
          <w:p>
            <w:pPr>
              <w:pStyle w:val="15"/>
              <w:ind w:left="0" w:leftChars="0" w:firstLine="0" w:firstLineChars="0"/>
              <w:jc w:val="center"/>
              <w:rPr>
                <w:sz w:val="18"/>
              </w:rPr>
            </w:pPr>
            <w:r>
              <w:rPr>
                <w:rFonts w:hint="eastAsia"/>
                <w:sz w:val="18"/>
              </w:rPr>
              <w:t>5</w:t>
            </w:r>
          </w:p>
        </w:tc>
        <w:tc>
          <w:tcPr>
            <w:tcW w:w="1678" w:type="pct"/>
            <w:shd w:val="clear" w:color="auto" w:fill="FFFFFF"/>
            <w:tcMar>
              <w:left w:w="0" w:type="dxa"/>
            </w:tcMar>
          </w:tcPr>
          <w:p>
            <w:pPr>
              <w:pStyle w:val="15"/>
              <w:ind w:left="0" w:leftChars="0" w:firstLine="0" w:firstLineChars="0"/>
              <w:jc w:val="center"/>
              <w:rPr>
                <w:sz w:val="18"/>
              </w:rPr>
            </w:pPr>
            <w:r>
              <w:rPr>
                <w:rFonts w:hint="eastAsia"/>
                <w:sz w:val="18"/>
              </w:rPr>
              <w:t>光谱采样间隔</w:t>
            </w:r>
          </w:p>
        </w:tc>
        <w:tc>
          <w:tcPr>
            <w:tcW w:w="2439" w:type="pct"/>
            <w:shd w:val="clear" w:color="auto" w:fill="FFFFFF"/>
          </w:tcPr>
          <w:p>
            <w:pPr>
              <w:pStyle w:val="15"/>
              <w:ind w:left="0" w:leftChars="0" w:firstLine="0" w:firstLineChars="0"/>
              <w:jc w:val="center"/>
              <w:rPr>
                <w:sz w:val="18"/>
              </w:rPr>
            </w:pPr>
            <w:r>
              <w:rPr>
                <w:rFonts w:hint="eastAsia"/>
                <w:sz w:val="18"/>
              </w:rPr>
              <w:t>≤5 nm</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blCellMar>
            <w:top w:w="15" w:type="dxa"/>
            <w:left w:w="0" w:type="dxa"/>
            <w:bottom w:w="15" w:type="dxa"/>
            <w:right w:w="0" w:type="dxa"/>
          </w:tblCellMar>
        </w:tblPrEx>
        <w:trPr>
          <w:trHeight w:val="283" w:hRule="atLeast"/>
          <w:jc w:val="center"/>
        </w:trPr>
        <w:tc>
          <w:tcPr>
            <w:tcW w:w="883" w:type="pct"/>
            <w:shd w:val="clear" w:color="auto" w:fill="FFFFFF"/>
            <w:vAlign w:val="center"/>
          </w:tcPr>
          <w:p>
            <w:pPr>
              <w:pStyle w:val="15"/>
              <w:ind w:left="0" w:leftChars="0" w:firstLine="0" w:firstLineChars="0"/>
              <w:jc w:val="center"/>
              <w:rPr>
                <w:sz w:val="18"/>
              </w:rPr>
            </w:pPr>
            <w:r>
              <w:rPr>
                <w:rFonts w:hint="eastAsia"/>
                <w:sz w:val="18"/>
              </w:rPr>
              <w:t>6</w:t>
            </w:r>
          </w:p>
        </w:tc>
        <w:tc>
          <w:tcPr>
            <w:tcW w:w="1678" w:type="pct"/>
            <w:shd w:val="clear" w:color="auto" w:fill="FFFFFF"/>
            <w:tcMar>
              <w:left w:w="0" w:type="dxa"/>
            </w:tcMar>
            <w:vAlign w:val="center"/>
          </w:tcPr>
          <w:p>
            <w:pPr>
              <w:pStyle w:val="15"/>
              <w:ind w:left="0" w:leftChars="0" w:firstLine="0" w:firstLineChars="0"/>
              <w:jc w:val="center"/>
              <w:rPr>
                <w:sz w:val="18"/>
              </w:rPr>
            </w:pPr>
            <w:r>
              <w:rPr>
                <w:rFonts w:hint="eastAsia"/>
                <w:sz w:val="18"/>
              </w:rPr>
              <w:t>积分时间</w:t>
            </w:r>
          </w:p>
        </w:tc>
        <w:tc>
          <w:tcPr>
            <w:tcW w:w="2439" w:type="pct"/>
            <w:shd w:val="clear" w:color="auto" w:fill="FFFFFF"/>
            <w:vAlign w:val="center"/>
          </w:tcPr>
          <w:p>
            <w:pPr>
              <w:pStyle w:val="15"/>
              <w:ind w:left="0" w:leftChars="0" w:firstLine="0" w:firstLineChars="0"/>
              <w:jc w:val="center"/>
              <w:rPr>
                <w:sz w:val="18"/>
              </w:rPr>
            </w:pPr>
            <w:r>
              <w:rPr>
                <w:rFonts w:hint="eastAsia"/>
                <w:sz w:val="18"/>
              </w:rPr>
              <w:t>≤</w:t>
            </w:r>
            <w:r>
              <w:rPr>
                <w:sz w:val="18"/>
              </w:rPr>
              <w:t>10</w:t>
            </w:r>
            <w:r>
              <w:rPr>
                <w:rFonts w:hint="eastAsia"/>
                <w:sz w:val="18"/>
              </w:rPr>
              <w:t>0</w:t>
            </w:r>
            <w:r>
              <w:rPr>
                <w:sz w:val="18"/>
              </w:rPr>
              <w:t xml:space="preserve"> </w:t>
            </w:r>
            <w:r>
              <w:rPr>
                <w:rFonts w:hint="eastAsia"/>
                <w:sz w:val="18"/>
              </w:rPr>
              <w:t>ms</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blCellMar>
            <w:top w:w="15" w:type="dxa"/>
            <w:left w:w="0" w:type="dxa"/>
            <w:bottom w:w="15" w:type="dxa"/>
            <w:right w:w="0" w:type="dxa"/>
          </w:tblCellMar>
        </w:tblPrEx>
        <w:trPr>
          <w:trHeight w:val="291" w:hRule="atLeast"/>
          <w:jc w:val="center"/>
        </w:trPr>
        <w:tc>
          <w:tcPr>
            <w:tcW w:w="883" w:type="pct"/>
            <w:shd w:val="clear" w:color="auto" w:fill="FFFFFF"/>
            <w:vAlign w:val="center"/>
          </w:tcPr>
          <w:p>
            <w:pPr>
              <w:pStyle w:val="15"/>
              <w:ind w:left="0" w:leftChars="0" w:firstLine="0" w:firstLineChars="0"/>
              <w:jc w:val="center"/>
              <w:rPr>
                <w:sz w:val="18"/>
              </w:rPr>
            </w:pPr>
            <w:r>
              <w:rPr>
                <w:rFonts w:hint="eastAsia"/>
                <w:sz w:val="18"/>
              </w:rPr>
              <w:t>7</w:t>
            </w:r>
          </w:p>
        </w:tc>
        <w:tc>
          <w:tcPr>
            <w:tcW w:w="1678" w:type="pct"/>
            <w:shd w:val="clear" w:color="auto" w:fill="FFFFFF"/>
            <w:tcMar>
              <w:left w:w="0" w:type="dxa"/>
            </w:tcMar>
            <w:vAlign w:val="center"/>
          </w:tcPr>
          <w:p>
            <w:pPr>
              <w:pStyle w:val="15"/>
              <w:ind w:left="0" w:leftChars="0" w:firstLine="0" w:firstLineChars="0"/>
              <w:jc w:val="center"/>
              <w:rPr>
                <w:sz w:val="18"/>
              </w:rPr>
            </w:pPr>
            <w:r>
              <w:rPr>
                <w:rFonts w:hint="eastAsia"/>
                <w:sz w:val="18"/>
              </w:rPr>
              <w:t>波长重复性</w:t>
            </w:r>
          </w:p>
        </w:tc>
        <w:tc>
          <w:tcPr>
            <w:tcW w:w="2439" w:type="pct"/>
            <w:shd w:val="clear" w:color="auto" w:fill="FFFFFF"/>
            <w:vAlign w:val="center"/>
          </w:tcPr>
          <w:p>
            <w:pPr>
              <w:pStyle w:val="15"/>
              <w:ind w:left="0" w:leftChars="0" w:firstLine="0" w:firstLineChars="0"/>
              <w:jc w:val="center"/>
              <w:rPr>
                <w:sz w:val="18"/>
              </w:rPr>
            </w:pPr>
            <w:r>
              <w:rPr>
                <w:rFonts w:hint="eastAsia"/>
                <w:sz w:val="18"/>
              </w:rPr>
              <w:t>≤0.14 nm</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blCellMar>
            <w:top w:w="15" w:type="dxa"/>
            <w:left w:w="0" w:type="dxa"/>
            <w:bottom w:w="15" w:type="dxa"/>
            <w:right w:w="0" w:type="dxa"/>
          </w:tblCellMar>
        </w:tblPrEx>
        <w:trPr>
          <w:trHeight w:val="291" w:hRule="atLeast"/>
          <w:jc w:val="center"/>
        </w:trPr>
        <w:tc>
          <w:tcPr>
            <w:tcW w:w="883" w:type="pct"/>
            <w:shd w:val="clear" w:color="auto" w:fill="FFFFFF"/>
            <w:vAlign w:val="center"/>
          </w:tcPr>
          <w:p>
            <w:pPr>
              <w:pStyle w:val="15"/>
              <w:ind w:left="0" w:leftChars="0" w:firstLine="0" w:firstLineChars="0"/>
              <w:jc w:val="center"/>
              <w:rPr>
                <w:sz w:val="18"/>
              </w:rPr>
            </w:pPr>
            <w:r>
              <w:rPr>
                <w:rFonts w:hint="eastAsia"/>
                <w:sz w:val="18"/>
              </w:rPr>
              <w:t>8</w:t>
            </w:r>
          </w:p>
        </w:tc>
        <w:tc>
          <w:tcPr>
            <w:tcW w:w="1678" w:type="pct"/>
            <w:shd w:val="clear" w:color="auto" w:fill="FFFFFF"/>
            <w:tcMar>
              <w:left w:w="0" w:type="dxa"/>
            </w:tcMar>
            <w:vAlign w:val="center"/>
          </w:tcPr>
          <w:p>
            <w:pPr>
              <w:pStyle w:val="15"/>
              <w:ind w:left="0" w:leftChars="0" w:firstLine="0" w:firstLineChars="0"/>
              <w:jc w:val="center"/>
              <w:rPr>
                <w:sz w:val="18"/>
              </w:rPr>
            </w:pPr>
            <w:r>
              <w:rPr>
                <w:rFonts w:hint="eastAsia"/>
                <w:sz w:val="18"/>
              </w:rPr>
              <w:t>波长准确性</w:t>
            </w:r>
          </w:p>
        </w:tc>
        <w:tc>
          <w:tcPr>
            <w:tcW w:w="2439" w:type="pct"/>
            <w:shd w:val="clear" w:color="auto" w:fill="FFFFFF"/>
            <w:vAlign w:val="center"/>
          </w:tcPr>
          <w:p>
            <w:pPr>
              <w:pStyle w:val="15"/>
              <w:ind w:left="0" w:leftChars="0" w:firstLine="0" w:firstLineChars="0"/>
              <w:jc w:val="center"/>
              <w:rPr>
                <w:sz w:val="18"/>
              </w:rPr>
            </w:pPr>
            <w:r>
              <w:rPr>
                <w:rFonts w:hint="eastAsia"/>
                <w:sz w:val="18"/>
              </w:rPr>
              <w:t>±</w:t>
            </w:r>
            <w:r>
              <w:rPr>
                <w:sz w:val="18"/>
              </w:rPr>
              <w:t>0.5 nm</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blCellMar>
            <w:top w:w="15" w:type="dxa"/>
            <w:left w:w="0" w:type="dxa"/>
            <w:bottom w:w="15" w:type="dxa"/>
            <w:right w:w="0" w:type="dxa"/>
          </w:tblCellMar>
        </w:tblPrEx>
        <w:trPr>
          <w:trHeight w:val="291" w:hRule="atLeast"/>
          <w:jc w:val="center"/>
        </w:trPr>
        <w:tc>
          <w:tcPr>
            <w:tcW w:w="883" w:type="pct"/>
            <w:shd w:val="clear" w:color="auto" w:fill="FFFFFF"/>
            <w:vAlign w:val="center"/>
          </w:tcPr>
          <w:p>
            <w:pPr>
              <w:pStyle w:val="15"/>
              <w:ind w:left="0" w:leftChars="0" w:firstLine="0" w:firstLineChars="0"/>
              <w:jc w:val="center"/>
              <w:rPr>
                <w:sz w:val="18"/>
              </w:rPr>
            </w:pPr>
            <w:r>
              <w:rPr>
                <w:rFonts w:hint="eastAsia"/>
                <w:sz w:val="18"/>
              </w:rPr>
              <w:t>9</w:t>
            </w:r>
          </w:p>
        </w:tc>
        <w:tc>
          <w:tcPr>
            <w:tcW w:w="1678" w:type="pct"/>
            <w:shd w:val="clear" w:color="auto" w:fill="FFFFFF"/>
            <w:tcMar>
              <w:left w:w="0" w:type="dxa"/>
            </w:tcMar>
            <w:vAlign w:val="center"/>
          </w:tcPr>
          <w:p>
            <w:pPr>
              <w:pStyle w:val="15"/>
              <w:ind w:left="0" w:leftChars="0" w:firstLine="0" w:firstLineChars="0"/>
              <w:jc w:val="center"/>
              <w:rPr>
                <w:sz w:val="18"/>
              </w:rPr>
            </w:pPr>
            <w:r>
              <w:rPr>
                <w:rFonts w:hint="eastAsia"/>
                <w:sz w:val="18"/>
              </w:rPr>
              <w:t>采样方式</w:t>
            </w:r>
          </w:p>
        </w:tc>
        <w:tc>
          <w:tcPr>
            <w:tcW w:w="2439" w:type="pct"/>
            <w:shd w:val="clear" w:color="auto" w:fill="FFFFFF"/>
            <w:vAlign w:val="center"/>
          </w:tcPr>
          <w:p>
            <w:pPr>
              <w:pStyle w:val="15"/>
              <w:ind w:left="0" w:leftChars="0" w:firstLine="0" w:firstLineChars="0"/>
              <w:jc w:val="center"/>
              <w:rPr>
                <w:sz w:val="18"/>
              </w:rPr>
            </w:pPr>
            <w:r>
              <w:rPr>
                <w:rFonts w:hint="eastAsia"/>
                <w:sz w:val="18"/>
              </w:rPr>
              <w:t>支持无人值守连续监测</w:t>
            </w:r>
          </w:p>
        </w:tc>
      </w:tr>
    </w:tbl>
    <w:p>
      <w:pPr>
        <w:pStyle w:val="69"/>
        <w:spacing w:before="156" w:after="156"/>
      </w:pPr>
      <w:bookmarkStart w:id="68" w:name="_Toc228978641"/>
      <w:r>
        <w:t>通讯与防护要求</w:t>
      </w:r>
    </w:p>
    <w:p>
      <w:pPr>
        <w:pStyle w:val="168"/>
      </w:pPr>
      <w:r>
        <w:t>通讯协议要求</w:t>
      </w:r>
    </w:p>
    <w:bookmarkEnd w:id="68"/>
    <w:p>
      <w:pPr>
        <w:pStyle w:val="60"/>
        <w:ind w:firstLine="420"/>
      </w:pPr>
      <w:r>
        <w:rPr>
          <w:rFonts w:hint="eastAsia"/>
        </w:rPr>
        <w:t>通讯协议应符合HJ 1404-2024中相关的系统通讯协议技术要求，</w:t>
      </w:r>
      <w:r>
        <w:t>并支持 4G/5G、北斗及有线通信中的至少一种方式。系统应具备时钟同步、断点续传、数据校验、状态上报和远程诊断功能。</w:t>
      </w:r>
    </w:p>
    <w:p>
      <w:pPr>
        <w:pStyle w:val="168"/>
      </w:pPr>
      <w:r>
        <w:rPr>
          <w:rFonts w:hint="eastAsia"/>
        </w:rPr>
        <w:t>防护和自清洁要求</w:t>
      </w:r>
    </w:p>
    <w:p>
      <w:pPr>
        <w:pStyle w:val="168"/>
        <w:numPr>
          <w:ilvl w:val="0"/>
          <w:numId w:val="0"/>
        </w:numPr>
        <w:ind w:firstLine="420" w:firstLineChars="200"/>
      </w:pPr>
      <w:r>
        <w:rPr>
          <w:rFonts w:hint="eastAsia"/>
        </w:rPr>
        <w:t>所选设备应充分考虑长期野外布设需求，外壳材料和内部接线应耐腐蚀，</w:t>
      </w:r>
      <w:r>
        <w:t>整机防护等级应符合GB/T</w:t>
      </w:r>
      <w:r>
        <w:rPr>
          <w:rFonts w:hint="eastAsia"/>
        </w:rPr>
        <w:t xml:space="preserve"> </w:t>
      </w:r>
      <w:r>
        <w:t>4208</w:t>
      </w:r>
      <w:r>
        <w:rPr>
          <w:rFonts w:hint="eastAsia"/>
        </w:rPr>
        <w:t>-2017</w:t>
      </w:r>
      <w:r>
        <w:t>中IP68 的规定</w:t>
      </w:r>
      <w:r>
        <w:rPr>
          <w:rFonts w:hint="eastAsia"/>
        </w:rPr>
        <w:t>。</w:t>
      </w:r>
    </w:p>
    <w:p>
      <w:pPr>
        <w:pStyle w:val="168"/>
        <w:numPr>
          <w:ilvl w:val="0"/>
          <w:numId w:val="0"/>
        </w:numPr>
        <w:ind w:firstLine="420" w:firstLineChars="200"/>
      </w:pPr>
      <w:r>
        <w:rPr>
          <w:rFonts w:hint="eastAsia"/>
        </w:rPr>
        <w:t>此外，设备应具有光学镜片的自清洁功能。</w:t>
      </w:r>
    </w:p>
    <w:p>
      <w:pPr>
        <w:pStyle w:val="69"/>
        <w:spacing w:before="156" w:after="156"/>
      </w:pPr>
      <w:r>
        <w:t>数据存储与传输</w:t>
      </w:r>
      <w:r>
        <w:rPr>
          <w:rFonts w:hint="eastAsia"/>
        </w:rPr>
        <w:t>要求</w:t>
      </w:r>
    </w:p>
    <w:p>
      <w:pPr>
        <w:pStyle w:val="60"/>
        <w:ind w:firstLine="420"/>
      </w:pPr>
      <w:r>
        <w:t>设备应同时支持本地存储和远程传输</w:t>
      </w:r>
      <w:r>
        <w:rPr>
          <w:rFonts w:hint="eastAsia"/>
        </w:rPr>
        <w:t>。</w:t>
      </w:r>
      <w:r>
        <w:t>本地存储应至少保存30 d的原始光谱、辅助观测信息、质量标识和运行日志；网络恢复后应自动补传未上传数据，且不得覆盖尚未完成校验的数据。</w:t>
      </w:r>
    </w:p>
    <w:p>
      <w:pPr>
        <w:pStyle w:val="69"/>
        <w:spacing w:before="156" w:after="156"/>
      </w:pPr>
      <w:r>
        <w:t>计算性能</w:t>
      </w:r>
      <w:r>
        <w:rPr>
          <w:rFonts w:hint="eastAsia"/>
        </w:rPr>
        <w:t>要求</w:t>
      </w:r>
    </w:p>
    <w:p>
      <w:pPr>
        <w:pStyle w:val="60"/>
        <w:ind w:firstLine="420"/>
      </w:pPr>
      <w:r>
        <w:t>设备系统应具备暗电流校正、辐射与波长校正、遥感反射率计算、质量检查、模型调用、结果标识和异常告警能力，并应记录处理软件及算法版本</w:t>
      </w:r>
      <w:r>
        <w:rPr>
          <w:rFonts w:hint="eastAsia"/>
        </w:rPr>
        <w:t>。</w:t>
      </w:r>
    </w:p>
    <w:p>
      <w:pPr>
        <w:pStyle w:val="109"/>
        <w:spacing w:before="156" w:after="156"/>
      </w:pPr>
      <w:bookmarkStart w:id="69" w:name="_Toc239680560"/>
      <w:bookmarkStart w:id="70" w:name="_Toc228978644"/>
      <w:r>
        <w:rPr>
          <w:rFonts w:hint="eastAsia"/>
        </w:rPr>
        <w:t>布设环境要求</w:t>
      </w:r>
      <w:bookmarkEnd w:id="69"/>
      <w:bookmarkEnd w:id="70"/>
    </w:p>
    <w:p>
      <w:pPr>
        <w:pStyle w:val="69"/>
        <w:spacing w:before="156" w:after="156"/>
      </w:pPr>
      <w:r>
        <w:rPr>
          <w:rFonts w:hint="eastAsia"/>
        </w:rPr>
        <w:t>布设原则</w:t>
      </w:r>
    </w:p>
    <w:p>
      <w:pPr>
        <w:pStyle w:val="60"/>
        <w:ind w:firstLine="420"/>
      </w:pPr>
      <w:r>
        <w:rPr>
          <w:rFonts w:hint="eastAsia"/>
        </w:rPr>
        <w:t>高光谱近感传感器</w:t>
      </w:r>
      <w:r>
        <w:t>固定站点布设应符合HJ 91.2</w:t>
      </w:r>
      <w:r>
        <w:rPr>
          <w:rFonts w:hint="eastAsia"/>
        </w:rPr>
        <w:t>-</w:t>
      </w:r>
      <w:r>
        <w:t>2022和HJ 915.1</w:t>
      </w:r>
      <w:r>
        <w:rPr>
          <w:rFonts w:hint="eastAsia"/>
        </w:rPr>
        <w:t>-</w:t>
      </w:r>
      <w:r>
        <w:t>2024的</w:t>
      </w:r>
      <w:r>
        <w:rPr>
          <w:rFonts w:hint="eastAsia"/>
        </w:rPr>
        <w:t>相关要求</w:t>
      </w:r>
      <w:r>
        <w:t>，点位应具备监测</w:t>
      </w:r>
      <w:r>
        <w:rPr>
          <w:rFonts w:hint="eastAsia"/>
        </w:rPr>
        <w:t>目标水体的</w:t>
      </w:r>
      <w:r>
        <w:t>代表性，并兼顾供电、通信、检修及作业安全</w:t>
      </w:r>
      <w:r>
        <w:rPr>
          <w:rFonts w:hint="eastAsia"/>
        </w:rPr>
        <w:t>要求。</w:t>
      </w:r>
    </w:p>
    <w:p>
      <w:pPr>
        <w:pStyle w:val="69"/>
        <w:spacing w:before="156" w:after="156"/>
      </w:pPr>
      <w:r>
        <w:rPr>
          <w:rFonts w:hint="eastAsia"/>
        </w:rPr>
        <w:t>安装环境要求</w:t>
      </w:r>
    </w:p>
    <w:p>
      <w:pPr>
        <w:pStyle w:val="168"/>
      </w:pPr>
      <w:r>
        <w:rPr>
          <w:rFonts w:hint="eastAsia"/>
        </w:rPr>
        <w:t>高光谱近感传感器距水面安装高度应为2 m～10 m</w:t>
      </w:r>
      <w:r>
        <w:t>。</w:t>
      </w:r>
    </w:p>
    <w:p>
      <w:pPr>
        <w:pStyle w:val="168"/>
      </w:pPr>
      <w:r>
        <w:rPr>
          <w:rFonts w:hint="eastAsia"/>
        </w:rPr>
        <w:t>高光谱近感传感器安装距离岸边不应小于2 m，观测区应为光学深水区，应避开浅滩、阴影、底部反射、植物遮挡和漂浮物遮挡的影响；当条件变动致使观测区不再满去要求时，应重新选址或将相应数据标注为无效。</w:t>
      </w:r>
    </w:p>
    <w:p>
      <w:pPr>
        <w:pStyle w:val="183"/>
      </w:pPr>
      <w:r>
        <w:rPr>
          <w:rFonts w:hint="eastAsia"/>
        </w:rPr>
        <w:t>光学深水区指</w:t>
      </w:r>
      <w:r>
        <w:t>水体深度足够大（或水体足够浑浊），使得入射光线在到达水底前被完全吸收和散射，水底反射信号无法到达水面的水体</w:t>
      </w:r>
      <w:r>
        <w:rPr>
          <w:rFonts w:hint="eastAsia"/>
        </w:rPr>
        <w:t>区域。</w:t>
      </w:r>
    </w:p>
    <w:p>
      <w:pPr>
        <w:pStyle w:val="168"/>
      </w:pPr>
      <w:r>
        <w:rPr>
          <w:rFonts w:hint="eastAsia"/>
        </w:rPr>
        <w:t>高光谱近感传感器安装环境应视野开阔，观测时段内无高大物体遮挡设备和水面、无强电磁干扰、无腐蚀性气体。</w:t>
      </w:r>
    </w:p>
    <w:p>
      <w:pPr>
        <w:pStyle w:val="168"/>
      </w:pPr>
      <w:r>
        <w:rPr>
          <w:rFonts w:hint="eastAsia"/>
        </w:rPr>
        <w:t>安装点周边应有可靠电力供应，包括市电或太阳能等供电方式，</w:t>
      </w:r>
      <w:r>
        <w:t>供电线路应符合防水及漏电防护要求</w:t>
      </w:r>
      <w:r>
        <w:rPr>
          <w:rFonts w:hint="eastAsia"/>
        </w:rPr>
        <w:t>。</w:t>
      </w:r>
    </w:p>
    <w:p>
      <w:pPr>
        <w:pStyle w:val="168"/>
        <w:rPr>
          <w:color w:val="000000" w:themeColor="text1"/>
          <w14:textFill>
            <w14:solidFill>
              <w14:schemeClr w14:val="tx1"/>
            </w14:solidFill>
          </w14:textFill>
        </w:rPr>
      </w:pPr>
      <w:r>
        <w:rPr>
          <w:rFonts w:hint="eastAsia"/>
          <w:color w:val="000000" w:themeColor="text1"/>
          <w14:textFill>
            <w14:solidFill>
              <w14:schemeClr w14:val="tx1"/>
            </w14:solidFill>
          </w14:textFill>
        </w:rPr>
        <w:t>安装点位周边应覆盖通讯网络，至少应具备北斗、5G、4G等无线通讯网络或有线通信网络中的一种。</w:t>
      </w:r>
    </w:p>
    <w:p>
      <w:pPr>
        <w:pStyle w:val="168"/>
      </w:pPr>
      <w:r>
        <w:t>传感器观测方位与太阳主平面的夹角宜为90°～135°。超出该范围或出现明显太阳耀斑时，应调整观测方位；无法调整的，应将受影响数据标记为无效</w:t>
      </w:r>
      <w:r>
        <w:rPr>
          <w:rFonts w:hint="eastAsia"/>
        </w:rPr>
        <w:t>。</w:t>
      </w:r>
    </w:p>
    <w:p>
      <w:pPr>
        <w:pStyle w:val="168"/>
      </w:pPr>
      <w:r>
        <w:rPr>
          <w:rFonts w:hint="eastAsia"/>
        </w:rPr>
        <w:t>浮标和船载应配备稳定装置，</w:t>
      </w:r>
      <w:r>
        <w:t>陆基设备固定支架应符合GB 5009</w:t>
      </w:r>
      <w:r>
        <w:rPr>
          <w:rFonts w:hint="eastAsia"/>
        </w:rPr>
        <w:t>3-2013</w:t>
      </w:r>
      <w:r>
        <w:t>关于防震、稳固性的要求。</w:t>
      </w:r>
    </w:p>
    <w:p>
      <w:pPr>
        <w:pStyle w:val="108"/>
        <w:spacing w:before="312" w:after="312"/>
      </w:pPr>
      <w:bookmarkStart w:id="71" w:name="_Toc239680561"/>
      <w:bookmarkStart w:id="72" w:name="_Toc228978645"/>
      <w:r>
        <w:rPr>
          <w:rFonts w:hint="eastAsia"/>
        </w:rPr>
        <w:t>数据获取与预处理</w:t>
      </w:r>
      <w:bookmarkEnd w:id="71"/>
      <w:bookmarkEnd w:id="72"/>
    </w:p>
    <w:p>
      <w:pPr>
        <w:pStyle w:val="109"/>
        <w:spacing w:before="156" w:after="156"/>
      </w:pPr>
      <w:bookmarkStart w:id="73" w:name="_Toc228978646"/>
      <w:bookmarkStart w:id="74" w:name="_Toc239680562"/>
      <w:r>
        <w:rPr>
          <w:rFonts w:hint="eastAsia"/>
        </w:rPr>
        <w:t>数据组成</w:t>
      </w:r>
      <w:bookmarkEnd w:id="73"/>
      <w:bookmarkEnd w:id="74"/>
    </w:p>
    <w:p>
      <w:pPr>
        <w:pStyle w:val="60"/>
        <w:ind w:firstLine="420"/>
      </w:pPr>
      <w:r>
        <w:rPr>
          <w:rFonts w:hint="eastAsia"/>
        </w:rPr>
        <w:t>地表水环境参数反演数据应包含实测水环境参数数据和高光谱反射率数据。</w:t>
      </w:r>
      <w:r>
        <w:t>地表水环境参数反演数据应包括原始光谱数据、校准和辅助观测数据、遥感反射率、同步实测水环境参数、质量标识以及模型输入输出数据</w:t>
      </w:r>
      <w:r>
        <w:rPr>
          <w:rFonts w:hint="eastAsia"/>
        </w:rPr>
        <w:t>。</w:t>
      </w:r>
    </w:p>
    <w:p>
      <w:pPr>
        <w:pStyle w:val="60"/>
        <w:ind w:firstLine="420"/>
      </w:pPr>
      <w:r>
        <w:t>每组匹配数据应具有唯一标识，并关联点位、时间、经纬度、设备与校准版本、观测几何、气象水文条件、样品编号、分析方法、数据单位和处理记录</w:t>
      </w:r>
      <w:r>
        <w:rPr>
          <w:rFonts w:hint="eastAsia"/>
        </w:rPr>
        <w:t>。</w:t>
      </w:r>
    </w:p>
    <w:p>
      <w:pPr>
        <w:pStyle w:val="109"/>
        <w:spacing w:before="156" w:after="156"/>
      </w:pPr>
      <w:bookmarkStart w:id="75" w:name="_Toc228978647"/>
      <w:bookmarkStart w:id="76" w:name="_Toc239680563"/>
      <w:r>
        <w:rPr>
          <w:rFonts w:hint="eastAsia"/>
        </w:rPr>
        <w:t>数据基本要求</w:t>
      </w:r>
      <w:bookmarkEnd w:id="75"/>
      <w:bookmarkEnd w:id="76"/>
    </w:p>
    <w:p>
      <w:pPr>
        <w:pStyle w:val="169"/>
        <w:numPr>
          <w:ilvl w:val="0"/>
          <w:numId w:val="0"/>
        </w:numPr>
      </w:pPr>
      <w:r>
        <w:rPr>
          <w:rFonts w:hint="eastAsia"/>
        </w:rPr>
        <w:t>a)实测地表水环境参数和高光谱反射率数据应满足以下要求：</w:t>
      </w:r>
    </w:p>
    <w:p>
      <w:pPr>
        <w:pStyle w:val="136"/>
      </w:pPr>
      <w:r>
        <w:t>在观测对象、空间位置和时间上保持一致</w:t>
      </w:r>
      <w:r>
        <w:rPr>
          <w:rFonts w:hint="eastAsia"/>
        </w:rPr>
        <w:t>；</w:t>
      </w:r>
    </w:p>
    <w:p>
      <w:pPr>
        <w:pStyle w:val="136"/>
      </w:pPr>
      <w:r>
        <w:rPr>
          <w:rFonts w:hint="eastAsia"/>
        </w:rPr>
        <w:t>覆盖</w:t>
      </w:r>
      <w:r>
        <w:t>目标水体主要季节、水文条件和目标参数变化范围</w:t>
      </w:r>
      <w:r>
        <w:rPr>
          <w:rFonts w:hint="eastAsia"/>
        </w:rPr>
        <w:t>。</w:t>
      </w:r>
    </w:p>
    <w:p>
      <w:pPr>
        <w:pStyle w:val="169"/>
        <w:numPr>
          <w:ilvl w:val="0"/>
          <w:numId w:val="0"/>
        </w:numPr>
      </w:pPr>
      <w:r>
        <w:rPr>
          <w:rFonts w:hint="eastAsia"/>
        </w:rPr>
        <w:t>b)数据应满足建模基本要求：</w:t>
      </w:r>
    </w:p>
    <w:p>
      <w:pPr>
        <w:pStyle w:val="136"/>
      </w:pPr>
      <w:r>
        <w:t>每个目标参数的有效匹配样本原则上不</w:t>
      </w:r>
      <w:r>
        <w:rPr>
          <w:rFonts w:hint="eastAsia"/>
        </w:rPr>
        <w:t>应</w:t>
      </w:r>
      <w:r>
        <w:t>少于200组</w:t>
      </w:r>
      <w:r>
        <w:rPr>
          <w:rFonts w:hint="eastAsia"/>
        </w:rPr>
        <w:t>；</w:t>
      </w:r>
    </w:p>
    <w:p>
      <w:pPr>
        <w:pStyle w:val="136"/>
      </w:pPr>
      <w:r>
        <w:t>样本分布应覆盖模型拟应用的参数范围和主要光学水体类型，避免样本集中于少数点位、日期或浓度区间</w:t>
      </w:r>
      <w:r>
        <w:rPr>
          <w:rFonts w:hint="eastAsia"/>
        </w:rPr>
        <w:t>。</w:t>
      </w:r>
    </w:p>
    <w:p>
      <w:pPr>
        <w:pStyle w:val="109"/>
        <w:spacing w:before="156" w:after="156"/>
      </w:pPr>
      <w:bookmarkStart w:id="77" w:name="_Toc239680564"/>
      <w:bookmarkStart w:id="78" w:name="_Toc228978648"/>
      <w:r>
        <w:rPr>
          <w:rFonts w:hint="eastAsia"/>
        </w:rPr>
        <w:t>实测水环境参数获取与预处理</w:t>
      </w:r>
      <w:bookmarkEnd w:id="77"/>
      <w:bookmarkEnd w:id="78"/>
    </w:p>
    <w:p>
      <w:pPr>
        <w:pStyle w:val="69"/>
        <w:spacing w:before="156" w:after="156"/>
      </w:pPr>
      <w:r>
        <w:rPr>
          <w:rFonts w:hint="eastAsia"/>
        </w:rPr>
        <w:t>水环境参数反演指标</w:t>
      </w:r>
    </w:p>
    <w:p>
      <w:pPr>
        <w:pStyle w:val="60"/>
        <w:ind w:firstLine="420"/>
      </w:pPr>
      <w:r>
        <w:rPr>
          <w:rFonts w:hint="eastAsia"/>
        </w:rPr>
        <w:t>目标参数</w:t>
      </w:r>
      <w:r>
        <w:t>应按其光学</w:t>
      </w:r>
      <w:r>
        <w:rPr>
          <w:rFonts w:hint="eastAsia"/>
        </w:rPr>
        <w:t>特性</w:t>
      </w:r>
      <w:r>
        <w:t>分为光学活性参数和</w:t>
      </w:r>
      <w:r>
        <w:rPr>
          <w:rFonts w:hint="eastAsia"/>
        </w:rPr>
        <w:t>非光学活性</w:t>
      </w:r>
      <w:r>
        <w:t>参数，分别制定验证要求</w:t>
      </w:r>
      <w:r>
        <w:rPr>
          <w:rFonts w:hint="eastAsia"/>
        </w:rPr>
        <w:t>。</w:t>
      </w:r>
    </w:p>
    <w:p>
      <w:pPr>
        <w:pStyle w:val="136"/>
      </w:pPr>
      <w:r>
        <w:t>光学活性参数包括叶绿素a、总悬浮物浓度、浊度、透明度、漫射衰减系数</w:t>
      </w:r>
      <w:r>
        <w:rPr>
          <w:rFonts w:hint="eastAsia"/>
        </w:rPr>
        <w:t>，</w:t>
      </w:r>
      <w:r>
        <w:t>具有明确吸收或散射特征的参数</w:t>
      </w:r>
      <w:r>
        <w:rPr>
          <w:rFonts w:hint="eastAsia"/>
        </w:rPr>
        <w:t>；</w:t>
      </w:r>
    </w:p>
    <w:p>
      <w:pPr>
        <w:pStyle w:val="136"/>
      </w:pPr>
      <w:r>
        <w:rPr>
          <w:rFonts w:hint="eastAsia"/>
        </w:rPr>
        <w:t>非</w:t>
      </w:r>
      <w:r>
        <w:t>光学活性参数</w:t>
      </w:r>
      <w:r>
        <w:rPr>
          <w:rFonts w:hint="eastAsia"/>
        </w:rPr>
        <w:t>包括</w:t>
      </w:r>
      <w:r>
        <w:t>总氮、总磷、溶解氧</w:t>
      </w:r>
      <w:r>
        <w:rPr>
          <w:rFonts w:hint="eastAsia"/>
        </w:rPr>
        <w:t>和高锰酸盐指数，</w:t>
      </w:r>
      <w:r>
        <w:t>缺乏稳定直接光谱响应的参数可</w:t>
      </w:r>
      <w:r>
        <w:rPr>
          <w:rFonts w:hint="eastAsia"/>
        </w:rPr>
        <w:t>利用</w:t>
      </w:r>
      <w:r>
        <w:t>其与光学活性组分</w:t>
      </w:r>
      <w:r>
        <w:rPr>
          <w:rFonts w:hint="eastAsia"/>
        </w:rPr>
        <w:t>的</w:t>
      </w:r>
      <w:r>
        <w:t>稳定协变关系进行</w:t>
      </w:r>
      <w:r>
        <w:rPr>
          <w:rFonts w:hint="eastAsia"/>
        </w:rPr>
        <w:t>光谱</w:t>
      </w:r>
      <w:r>
        <w:t>反演；输出时应说明其间接性和适用域</w:t>
      </w:r>
      <w:r>
        <w:rPr>
          <w:rFonts w:hint="eastAsia"/>
        </w:rPr>
        <w:t>。</w:t>
      </w:r>
    </w:p>
    <w:p>
      <w:pPr>
        <w:pStyle w:val="69"/>
        <w:spacing w:before="156" w:after="156"/>
      </w:pPr>
      <w:r>
        <w:rPr>
          <w:rFonts w:hint="eastAsia"/>
        </w:rPr>
        <w:t>水样采集与测定规范</w:t>
      </w:r>
    </w:p>
    <w:p>
      <w:pPr>
        <w:pStyle w:val="168"/>
      </w:pPr>
      <w:r>
        <w:t>水样应代表传感器观测</w:t>
      </w:r>
      <w:r>
        <w:rPr>
          <w:rFonts w:hint="eastAsia"/>
        </w:rPr>
        <w:t>范围</w:t>
      </w:r>
      <w:r>
        <w:t>内的水体</w:t>
      </w:r>
      <w:r>
        <w:rPr>
          <w:rFonts w:hint="eastAsia"/>
        </w:rPr>
        <w:t>。水样</w:t>
      </w:r>
      <w:r>
        <w:t>应</w:t>
      </w:r>
      <w:r>
        <w:rPr>
          <w:rFonts w:hint="eastAsia"/>
        </w:rPr>
        <w:t>在</w:t>
      </w:r>
      <w:r>
        <w:t>以传感器视场中心为圆心，</w:t>
      </w:r>
      <w:r>
        <w:rPr>
          <w:rFonts w:hint="eastAsia"/>
        </w:rPr>
        <w:t>在1.5</w:t>
      </w:r>
      <w:r>
        <w:t>倍视域半径（根据视场角和安装高度计算）为范围进行</w:t>
      </w:r>
      <w:r>
        <w:rPr>
          <w:rFonts w:hint="eastAsia"/>
        </w:rPr>
        <w:t>采集</w:t>
      </w:r>
      <w:r>
        <w:t>。</w:t>
      </w:r>
      <w:r>
        <w:rPr>
          <w:rFonts w:hint="eastAsia"/>
        </w:rPr>
        <w:t>当</w:t>
      </w:r>
      <w:r>
        <w:t>水体空间异质性明显时，应在</w:t>
      </w:r>
      <w:r>
        <w:rPr>
          <w:rFonts w:hint="eastAsia"/>
        </w:rPr>
        <w:t>观测范围</w:t>
      </w:r>
      <w:r>
        <w:t>内采集</w:t>
      </w:r>
      <w:r>
        <w:rPr>
          <w:rFonts w:hint="eastAsia"/>
        </w:rPr>
        <w:t>至少3个子样本均匀</w:t>
      </w:r>
      <w:r>
        <w:t>组成混合样。船载采样应在船体和水面扰动稳定后进行</w:t>
      </w:r>
      <w:r>
        <w:rPr>
          <w:rFonts w:hint="eastAsia"/>
        </w:rPr>
        <w:t>样品采集</w:t>
      </w:r>
      <w:r>
        <w:t>，并记录点位、时间、观测足迹、天气和水面状况。</w:t>
      </w:r>
    </w:p>
    <w:p>
      <w:pPr>
        <w:pStyle w:val="168"/>
      </w:pPr>
      <w:r>
        <w:t>水样采集、容器、固定、保存和运输应</w:t>
      </w:r>
      <w:r>
        <w:rPr>
          <w:rFonts w:hint="eastAsia"/>
        </w:rPr>
        <w:t>执行</w:t>
      </w:r>
      <w:r>
        <w:t>HJ 91.2</w:t>
      </w:r>
      <w:r>
        <w:rPr>
          <w:rFonts w:hint="eastAsia"/>
        </w:rPr>
        <w:t>-</w:t>
      </w:r>
      <w:r>
        <w:t>2022及相应分析方法的规定</w:t>
      </w:r>
      <w:r>
        <w:rPr>
          <w:rFonts w:hint="eastAsia"/>
        </w:rPr>
        <w:t>。</w:t>
      </w:r>
      <w:r>
        <w:t>不同参数应使用适用的容器和保存条件在规定时间内运送至实验室分析。</w:t>
      </w:r>
    </w:p>
    <w:p>
      <w:pPr>
        <w:pStyle w:val="168"/>
      </w:pPr>
      <w:r>
        <w:rPr>
          <w:rFonts w:hint="eastAsia"/>
        </w:rPr>
        <w:t>水环境参数测定方法：</w:t>
      </w:r>
    </w:p>
    <w:p>
      <w:pPr>
        <w:pStyle w:val="136"/>
        <w:numPr>
          <w:ilvl w:val="0"/>
          <w:numId w:val="0"/>
        </w:numPr>
        <w:ind w:left="851" w:hanging="426"/>
      </w:pPr>
      <w:r>
        <w:rPr>
          <w:rFonts w:hint="eastAsia"/>
        </w:rPr>
        <w:t>a)叶绿素a执行HJ 897-2017测定；</w:t>
      </w:r>
    </w:p>
    <w:p>
      <w:pPr>
        <w:pStyle w:val="136"/>
        <w:numPr>
          <w:ilvl w:val="0"/>
          <w:numId w:val="0"/>
        </w:numPr>
        <w:ind w:left="851" w:hanging="426"/>
      </w:pPr>
      <w:r>
        <w:rPr>
          <w:rFonts w:hint="eastAsia"/>
        </w:rPr>
        <w:t>b)</w:t>
      </w:r>
      <w:r>
        <w:t>总悬浮物浓度</w:t>
      </w:r>
      <w:r>
        <w:rPr>
          <w:rFonts w:hint="eastAsia"/>
        </w:rPr>
        <w:t>执行GB 11901-</w:t>
      </w:r>
      <w:r>
        <w:t>19</w:t>
      </w:r>
      <w:r>
        <w:rPr>
          <w:rFonts w:hint="eastAsia"/>
        </w:rPr>
        <w:t>89测定；</w:t>
      </w:r>
    </w:p>
    <w:p>
      <w:pPr>
        <w:pStyle w:val="136"/>
        <w:numPr>
          <w:ilvl w:val="0"/>
          <w:numId w:val="0"/>
        </w:numPr>
        <w:ind w:left="851" w:hanging="426"/>
      </w:pPr>
      <w:r>
        <w:rPr>
          <w:rFonts w:hint="eastAsia"/>
        </w:rPr>
        <w:t>c)浊度执行HJ 1075-2019测定；</w:t>
      </w:r>
    </w:p>
    <w:p>
      <w:pPr>
        <w:pStyle w:val="136"/>
        <w:numPr>
          <w:ilvl w:val="0"/>
          <w:numId w:val="0"/>
        </w:numPr>
        <w:ind w:left="851" w:hanging="426"/>
      </w:pPr>
      <w:r>
        <w:rPr>
          <w:rFonts w:hint="eastAsia"/>
        </w:rPr>
        <w:t>d)透明度执行SL 87-1994测定；</w:t>
      </w:r>
    </w:p>
    <w:p>
      <w:pPr>
        <w:pStyle w:val="136"/>
        <w:numPr>
          <w:ilvl w:val="0"/>
          <w:numId w:val="0"/>
        </w:numPr>
        <w:ind w:left="851" w:hanging="426"/>
      </w:pPr>
      <w:r>
        <w:rPr>
          <w:rFonts w:hint="eastAsia"/>
        </w:rPr>
        <w:t>e)漫射衰减系数执行GB/T 12763.2-2007测定；</w:t>
      </w:r>
    </w:p>
    <w:p>
      <w:pPr>
        <w:pStyle w:val="136"/>
        <w:numPr>
          <w:ilvl w:val="0"/>
          <w:numId w:val="0"/>
        </w:numPr>
        <w:ind w:left="851" w:hanging="426"/>
      </w:pPr>
      <w:r>
        <w:rPr>
          <w:rFonts w:hint="eastAsia"/>
        </w:rPr>
        <w:t>f)总氮执行HJ 636-2012测定；</w:t>
      </w:r>
    </w:p>
    <w:p>
      <w:pPr>
        <w:pStyle w:val="136"/>
        <w:numPr>
          <w:ilvl w:val="0"/>
          <w:numId w:val="0"/>
        </w:numPr>
        <w:ind w:left="851" w:hanging="426"/>
      </w:pPr>
      <w:r>
        <w:rPr>
          <w:rFonts w:hint="eastAsia"/>
        </w:rPr>
        <w:t>g)总磷执行GB 11893-1989测定；</w:t>
      </w:r>
    </w:p>
    <w:p>
      <w:pPr>
        <w:pStyle w:val="136"/>
        <w:numPr>
          <w:ilvl w:val="0"/>
          <w:numId w:val="0"/>
        </w:numPr>
        <w:ind w:left="851" w:hanging="426"/>
      </w:pPr>
      <w:r>
        <w:rPr>
          <w:rFonts w:hint="eastAsia"/>
        </w:rPr>
        <w:t>h)溶解氧执行HJ 506-2009测定；</w:t>
      </w:r>
    </w:p>
    <w:p>
      <w:pPr>
        <w:pStyle w:val="136"/>
        <w:numPr>
          <w:ilvl w:val="0"/>
          <w:numId w:val="0"/>
        </w:numPr>
        <w:ind w:left="851" w:hanging="426"/>
      </w:pPr>
      <w:r>
        <w:rPr>
          <w:rFonts w:hint="eastAsia"/>
        </w:rPr>
        <w:t>i)高锰酸盐指数执行</w:t>
      </w:r>
      <w:r>
        <w:t>HJ 1446-2026</w:t>
      </w:r>
      <w:r>
        <w:rPr>
          <w:rFonts w:hint="eastAsia"/>
        </w:rPr>
        <w:t>测定。</w:t>
      </w:r>
    </w:p>
    <w:p>
      <w:pPr>
        <w:pStyle w:val="168"/>
      </w:pPr>
      <w:r>
        <w:rPr>
          <w:rFonts w:hint="eastAsia"/>
        </w:rPr>
        <w:t>异常值的判读和处理应执行GB/T</w:t>
      </w:r>
      <w:r>
        <w:t xml:space="preserve"> </w:t>
      </w:r>
      <w:r>
        <w:rPr>
          <w:rFonts w:hint="eastAsia"/>
        </w:rPr>
        <w:t>4883-2008。</w:t>
      </w:r>
      <w:r>
        <w:t>异常记录应先核查采样、分析、设备状态和环境条件；仅在有明确技术原因或预先规定的质量规则时方可剔除。原因不明的极端值应保留原始记录并标记为待确认，不得仅因偏离统计分布而删除。同一参数连续出现异常时，应重新采样或开展设备和分析过程复核</w:t>
      </w:r>
      <w:r>
        <w:rPr>
          <w:rFonts w:hint="eastAsia"/>
        </w:rPr>
        <w:t>。</w:t>
      </w:r>
    </w:p>
    <w:p>
      <w:pPr>
        <w:pStyle w:val="69"/>
        <w:spacing w:before="156" w:after="156"/>
      </w:pPr>
      <w:r>
        <w:rPr>
          <w:rFonts w:hint="eastAsia"/>
        </w:rPr>
        <w:t>采集频次</w:t>
      </w:r>
    </w:p>
    <w:p>
      <w:pPr>
        <w:pStyle w:val="168"/>
        <w:numPr>
          <w:ilvl w:val="0"/>
          <w:numId w:val="0"/>
        </w:numPr>
        <w:ind w:firstLine="420" w:firstLineChars="200"/>
      </w:pPr>
      <w:r>
        <w:t>运行期每年应至少开展4个批次的同步比对采样，</w:t>
      </w:r>
      <w:r>
        <w:rPr>
          <w:rFonts w:hint="eastAsia"/>
        </w:rPr>
        <w:t>应</w:t>
      </w:r>
      <w:r>
        <w:t>覆盖丰水期、平水期、枯水期及目标水体的高风险过程。每批样本数量应根据点位差异、参数范围和模型监测需要确定。</w:t>
      </w:r>
    </w:p>
    <w:p>
      <w:pPr>
        <w:pStyle w:val="109"/>
        <w:spacing w:before="156" w:after="156"/>
      </w:pPr>
      <w:bookmarkStart w:id="79" w:name="_Toc239680565"/>
      <w:bookmarkStart w:id="80" w:name="_Toc228978649"/>
      <w:r>
        <w:rPr>
          <w:rFonts w:hint="eastAsia"/>
        </w:rPr>
        <w:t>高光谱</w:t>
      </w:r>
      <w:r>
        <w:t>反射率</w:t>
      </w:r>
      <w:r>
        <w:rPr>
          <w:rFonts w:hint="eastAsia"/>
        </w:rPr>
        <w:t>获取与预处理</w:t>
      </w:r>
      <w:bookmarkEnd w:id="79"/>
      <w:bookmarkEnd w:id="80"/>
    </w:p>
    <w:p>
      <w:pPr>
        <w:pStyle w:val="69"/>
        <w:spacing w:before="156" w:after="156"/>
      </w:pPr>
      <w:r>
        <w:rPr>
          <w:rFonts w:hint="eastAsia"/>
        </w:rPr>
        <w:t>获取应满足以下条件</w:t>
      </w:r>
    </w:p>
    <w:p>
      <w:pPr>
        <w:pStyle w:val="168"/>
        <w:numPr>
          <w:ilvl w:val="0"/>
          <w:numId w:val="0"/>
        </w:numPr>
        <w:ind w:firstLine="420" w:firstLineChars="200"/>
      </w:pPr>
      <w:r>
        <w:rPr>
          <w:rFonts w:hint="eastAsia"/>
        </w:rPr>
        <w:t>a)</w:t>
      </w:r>
      <w:r>
        <w:t>时间应为北京时间9</w:t>
      </w:r>
      <w:r>
        <w:rPr>
          <w:rFonts w:hint="eastAsia"/>
        </w:rPr>
        <w:t>:</w:t>
      </w:r>
      <w:r>
        <w:t>00-16</w:t>
      </w:r>
      <w:r>
        <w:rPr>
          <w:rFonts w:hint="eastAsia"/>
        </w:rPr>
        <w:t>:</w:t>
      </w:r>
      <w:r>
        <w:t>00（冬季可适当缩短至10</w:t>
      </w:r>
      <w:r>
        <w:rPr>
          <w:rFonts w:hint="eastAsia"/>
        </w:rPr>
        <w:t>:</w:t>
      </w:r>
      <w:r>
        <w:t>00-15</w:t>
      </w:r>
      <w:r>
        <w:rPr>
          <w:rFonts w:hint="eastAsia"/>
        </w:rPr>
        <w:t>:</w:t>
      </w:r>
      <w:r>
        <w:t>00，以太阳高度角≥30°为基准）</w:t>
      </w:r>
      <w:r>
        <w:rPr>
          <w:rFonts w:hint="eastAsia"/>
        </w:rPr>
        <w:t>；</w:t>
      </w:r>
    </w:p>
    <w:p>
      <w:pPr>
        <w:pStyle w:val="168"/>
        <w:numPr>
          <w:ilvl w:val="0"/>
          <w:numId w:val="0"/>
        </w:numPr>
        <w:ind w:firstLine="420" w:firstLineChars="200"/>
      </w:pPr>
      <w:r>
        <w:rPr>
          <w:rFonts w:hint="eastAsia"/>
        </w:rPr>
        <w:t>b)环境应为光照稳定的晴天或阴天，且无大雾；</w:t>
      </w:r>
    </w:p>
    <w:p>
      <w:pPr>
        <w:pStyle w:val="168"/>
        <w:numPr>
          <w:ilvl w:val="0"/>
          <w:numId w:val="0"/>
        </w:numPr>
        <w:ind w:firstLine="420" w:firstLineChars="200"/>
      </w:pPr>
      <w:r>
        <w:rPr>
          <w:rFonts w:hint="eastAsia"/>
        </w:rPr>
        <w:t>c)水面应无结冰、大面积漂浮物、油膜、阴影覆盖。</w:t>
      </w:r>
    </w:p>
    <w:p>
      <w:pPr>
        <w:pStyle w:val="69"/>
        <w:spacing w:before="156" w:after="156"/>
      </w:pPr>
      <w:r>
        <w:rPr>
          <w:rFonts w:hint="eastAsia"/>
        </w:rPr>
        <w:t>高光谱反射率采集流程</w:t>
      </w:r>
    </w:p>
    <w:p>
      <w:pPr>
        <w:pStyle w:val="168"/>
      </w:pPr>
      <w:r>
        <w:t>设备首次使用、维修或更换关键光学部件后，以及质量核查发现漂移时，应完成波长和辐射定标和暗电流校正。定标方法见附录A，定标结果应形成记录并与数据关联</w:t>
      </w:r>
    </w:p>
    <w:p>
      <w:pPr>
        <w:pStyle w:val="183"/>
      </w:pPr>
      <w:r>
        <w:rPr>
          <w:rFonts w:hint="eastAsia"/>
        </w:rPr>
        <w:t>光谱定标是确定高光谱遥感器各光谱通道的峰值波长和光谱带宽的过程。</w:t>
      </w:r>
    </w:p>
    <w:p>
      <w:pPr>
        <w:pStyle w:val="168"/>
      </w:pPr>
      <w:r>
        <w:t>每个采样点应连续获取不少于10组有效光谱；每组应包括同步的下行辐照度、观测方向辐亮度及</w:t>
      </w:r>
      <w:r>
        <w:rPr>
          <w:rFonts w:hint="eastAsia"/>
        </w:rPr>
        <w:t>环境</w:t>
      </w:r>
      <w:r>
        <w:t>光信息。</w:t>
      </w:r>
    </w:p>
    <w:p>
      <w:pPr>
        <w:pStyle w:val="168"/>
      </w:pPr>
      <w:r>
        <w:t>应同步记录经纬度、时间、传感器方位与倾角、离水高度、积分时间、增益和设备状态</w:t>
      </w:r>
      <w:r>
        <w:rPr>
          <w:rFonts w:hint="eastAsia"/>
        </w:rPr>
        <w:t>。</w:t>
      </w:r>
    </w:p>
    <w:p>
      <w:pPr>
        <w:pStyle w:val="69"/>
        <w:spacing w:before="156" w:after="156"/>
      </w:pPr>
      <w:r>
        <w:t>高光谱反射率</w:t>
      </w:r>
      <w:r>
        <w:rPr>
          <w:rFonts w:hint="eastAsia"/>
        </w:rPr>
        <w:t>预处理流程</w:t>
      </w:r>
    </w:p>
    <w:p>
      <w:pPr>
        <w:pStyle w:val="69"/>
        <w:spacing w:before="156" w:after="156"/>
      </w:pPr>
      <w:r>
        <w:rPr>
          <w:rFonts w:ascii="宋体" w:eastAsia="宋体"/>
        </w:rPr>
        <w:t>应对饱和、欠曝、突跳、负值、太阳耀斑、漂浮物遮挡和设备状态异常进行检查。可使用光谱角（SAM，见附录B）辅助筛查</w:t>
      </w:r>
      <w:r>
        <w:rPr>
          <w:rFonts w:hint="eastAsia" w:ascii="宋体" w:eastAsia="宋体"/>
        </w:rPr>
        <w:t>，将</w:t>
      </w:r>
      <w:r>
        <w:rPr>
          <w:rFonts w:ascii="宋体" w:eastAsia="宋体"/>
        </w:rPr>
        <w:t>SAM＞0.20 rad作为默认预警阈值</w:t>
      </w:r>
      <w:r>
        <w:rPr>
          <w:rFonts w:hint="eastAsia" w:ascii="宋体" w:eastAsia="宋体"/>
        </w:rPr>
        <w:t>，表明光谱偏离水体。当</w:t>
      </w:r>
      <w:r>
        <w:rPr>
          <w:rFonts w:ascii="宋体" w:eastAsia="宋体"/>
        </w:rPr>
        <w:t>原始信号达到设备量程上限的波段应标记为饱和</w:t>
      </w:r>
      <w:r>
        <w:rPr>
          <w:rFonts w:hint="eastAsia" w:ascii="宋体" w:eastAsia="宋体"/>
        </w:rPr>
        <w:t>；</w:t>
      </w:r>
      <w:r>
        <w:rPr>
          <w:rFonts w:ascii="宋体" w:eastAsia="宋体"/>
        </w:rPr>
        <w:t>遥感反射率出现负值</w:t>
      </w:r>
      <w:r>
        <w:rPr>
          <w:rFonts w:hint="eastAsia" w:ascii="宋体" w:eastAsia="宋体"/>
        </w:rPr>
        <w:t>或者突跳</w:t>
      </w:r>
      <w:r>
        <w:rPr>
          <w:rFonts w:ascii="宋体" w:eastAsia="宋体"/>
        </w:rPr>
        <w:t>时，</w:t>
      </w:r>
      <w:r>
        <w:rPr>
          <w:rFonts w:hint="eastAsia" w:ascii="宋体" w:eastAsia="宋体"/>
        </w:rPr>
        <w:t>应标记为异常；当</w:t>
      </w:r>
      <w:r>
        <w:rPr>
          <w:rFonts w:ascii="宋体" w:eastAsia="宋体"/>
        </w:rPr>
        <w:t>全波段同步升高、光谱饱和、近红外异常</w:t>
      </w:r>
      <w:r>
        <w:rPr>
          <w:rFonts w:hint="eastAsia" w:ascii="宋体" w:eastAsia="宋体"/>
        </w:rPr>
        <w:t>，标记为耀斑</w:t>
      </w:r>
      <w:r>
        <w:rPr>
          <w:rFonts w:ascii="宋体" w:eastAsia="宋体"/>
        </w:rPr>
        <w:t>。无效判定应保留原始光谱和原因标识</w:t>
      </w:r>
      <w:r>
        <w:rPr>
          <w:rFonts w:hint="eastAsia"/>
        </w:rPr>
        <w:t>。</w:t>
      </w:r>
    </w:p>
    <w:p>
      <w:pPr>
        <w:pStyle w:val="168"/>
      </w:pPr>
      <w:r>
        <w:rPr>
          <w:rFonts w:hint="eastAsia"/>
        </w:rPr>
        <w:t>对6.4.2.</w:t>
      </w:r>
      <w:r>
        <w:t>3</w:t>
      </w:r>
      <w:r>
        <w:rPr>
          <w:rFonts w:hint="eastAsia"/>
        </w:rPr>
        <w:t>中水面上的下行辐照度和水体离水辐亮度记录求平均值，计算得到水体高光谱反射率数据。</w:t>
      </w:r>
    </w:p>
    <w:p>
      <w:pPr>
        <w:pStyle w:val="168"/>
      </w:pPr>
      <w:r>
        <w:t>可根据噪声水平采用Savitzky-Golay滤波或其他经验证的方法平滑光谱。窗口宽度、阶数等参数应仅使用训练数据确定，并记录处理前后数据</w:t>
      </w:r>
      <w:r>
        <w:rPr>
          <w:rFonts w:hint="eastAsia"/>
        </w:rPr>
        <w:t>。</w:t>
      </w:r>
    </w:p>
    <w:p>
      <w:pPr>
        <w:pStyle w:val="168"/>
      </w:pPr>
      <w:r>
        <w:rPr>
          <w:rFonts w:hint="eastAsia"/>
        </w:rPr>
        <w:t>应对采集的水体高光谱反射率数据进行归一化处理。</w:t>
      </w:r>
    </w:p>
    <w:p>
      <w:pPr>
        <w:pStyle w:val="109"/>
        <w:spacing w:before="156" w:after="156"/>
      </w:pPr>
      <w:bookmarkStart w:id="81" w:name="_Toc228978650"/>
      <w:bookmarkStart w:id="82" w:name="_Toc239680566"/>
      <w:r>
        <w:rPr>
          <w:rFonts w:hint="eastAsia"/>
        </w:rPr>
        <w:t>水环境参数与高光谱反射率同步匹配</w:t>
      </w:r>
      <w:bookmarkEnd w:id="81"/>
      <w:bookmarkEnd w:id="82"/>
    </w:p>
    <w:p>
      <w:pPr>
        <w:pStyle w:val="69"/>
        <w:spacing w:before="156" w:after="156"/>
      </w:pPr>
      <w:r>
        <w:rPr>
          <w:rFonts w:hint="eastAsia"/>
        </w:rPr>
        <w:t>匹配原则</w:t>
      </w:r>
    </w:p>
    <w:p>
      <w:pPr>
        <w:pStyle w:val="60"/>
        <w:ind w:firstLine="420"/>
      </w:pPr>
      <w:r>
        <w:rPr>
          <w:rFonts w:hint="eastAsia"/>
        </w:rPr>
        <w:t>实测地表水环境参数与高光谱近感水体反射率</w:t>
      </w:r>
      <w:r>
        <w:t>应在时间和空间上匹配</w:t>
      </w:r>
      <w:r>
        <w:rPr>
          <w:rFonts w:hint="eastAsia"/>
        </w:rPr>
        <w:t>。</w:t>
      </w:r>
    </w:p>
    <w:p>
      <w:pPr>
        <w:pStyle w:val="69"/>
        <w:spacing w:before="156" w:after="156"/>
      </w:pPr>
      <w:r>
        <w:rPr>
          <w:rFonts w:hint="eastAsia"/>
        </w:rPr>
        <w:t>匹配方法</w:t>
      </w:r>
    </w:p>
    <w:p>
      <w:pPr>
        <w:pStyle w:val="60"/>
        <w:ind w:firstLine="420"/>
      </w:pPr>
      <w:r>
        <w:t>实测地表水环境参数与高光谱近感水体反射率</w:t>
      </w:r>
      <w:r>
        <w:rPr>
          <w:rFonts w:hint="eastAsia"/>
        </w:rPr>
        <w:t>匹配应满足以下要求：</w:t>
      </w:r>
    </w:p>
    <w:p>
      <w:pPr>
        <w:pStyle w:val="136"/>
        <w:numPr>
          <w:ilvl w:val="0"/>
          <w:numId w:val="0"/>
        </w:numPr>
        <w:ind w:left="851"/>
      </w:pPr>
      <w:r>
        <w:rPr>
          <w:rFonts w:hint="eastAsia"/>
        </w:rPr>
        <w:t>a)</w:t>
      </w:r>
      <w:r>
        <w:t>应以样品采集时刻为基准，优先匹配同一观测区内时间最近且质量合格的光谱。一般匹配窗口不应超过±5 min</w:t>
      </w:r>
      <w:r>
        <w:rPr>
          <w:rFonts w:hint="eastAsia"/>
        </w:rPr>
        <w:t>；</w:t>
      </w:r>
    </w:p>
    <w:p>
      <w:pPr>
        <w:pStyle w:val="136"/>
        <w:numPr>
          <w:ilvl w:val="0"/>
          <w:numId w:val="0"/>
        </w:numPr>
        <w:ind w:left="851"/>
      </w:pPr>
      <w:r>
        <w:rPr>
          <w:rFonts w:hint="eastAsia"/>
        </w:rPr>
        <w:t>b)污染物</w:t>
      </w:r>
      <w:r>
        <w:t>排放、藻华、强对流、流量突变等导致水体快速变化时，应采用同步采集或将匹配窗口缩短至±2 min，并记录缩短依据</w:t>
      </w:r>
      <w:r>
        <w:rPr>
          <w:rFonts w:hint="eastAsia"/>
        </w:rPr>
        <w:t>；</w:t>
      </w:r>
    </w:p>
    <w:p>
      <w:pPr>
        <w:pStyle w:val="136"/>
        <w:numPr>
          <w:ilvl w:val="0"/>
          <w:numId w:val="0"/>
        </w:numPr>
        <w:ind w:left="851"/>
      </w:pPr>
      <w:r>
        <w:rPr>
          <w:rFonts w:hint="eastAsia"/>
        </w:rPr>
        <w:t>c)</w:t>
      </w:r>
      <w:r>
        <w:t>匹配窗口内存在多组有效光谱时，可按统一规则取中位数或质量控制后的平均值；使用的扫描编号、时间差和汇总方法应可追溯</w:t>
      </w:r>
      <w:r>
        <w:rPr>
          <w:rFonts w:hint="eastAsia"/>
        </w:rPr>
        <w:t>；</w:t>
      </w:r>
    </w:p>
    <w:p>
      <w:pPr>
        <w:pStyle w:val="136"/>
        <w:numPr>
          <w:ilvl w:val="0"/>
          <w:numId w:val="0"/>
        </w:numPr>
        <w:ind w:left="851"/>
      </w:pPr>
      <w:r>
        <w:rPr>
          <w:rFonts w:hint="eastAsia"/>
        </w:rPr>
        <w:t>d)</w:t>
      </w:r>
      <w:r>
        <w:rPr>
          <w:rFonts w:hint="eastAsia"/>
          <w:color w:val="000000"/>
          <w:szCs w:val="21"/>
          <w:shd w:val="clear" w:color="auto" w:fill="FFFFFF"/>
        </w:rPr>
        <w:t>超出规定时间或空间范围、观测条件发生明显变化的数据不得组成匹配样本。</w:t>
      </w:r>
    </w:p>
    <w:p>
      <w:pPr>
        <w:pStyle w:val="108"/>
        <w:spacing w:before="312" w:after="312"/>
      </w:pPr>
      <w:bookmarkStart w:id="83" w:name="OLE_LINK1"/>
      <w:bookmarkStart w:id="84" w:name="_Toc239680567"/>
      <w:bookmarkStart w:id="85" w:name="_Toc228978651"/>
      <w:r>
        <w:rPr>
          <w:rFonts w:hint="eastAsia"/>
        </w:rPr>
        <w:t>水环境参数反演</w:t>
      </w:r>
      <w:bookmarkEnd w:id="83"/>
      <w:r>
        <w:rPr>
          <w:rFonts w:hint="eastAsia"/>
        </w:rPr>
        <w:t>模型构建与应用</w:t>
      </w:r>
      <w:bookmarkEnd w:id="84"/>
      <w:bookmarkEnd w:id="85"/>
    </w:p>
    <w:p>
      <w:pPr>
        <w:pStyle w:val="109"/>
        <w:spacing w:before="156" w:after="156"/>
      </w:pPr>
      <w:bookmarkStart w:id="86" w:name="_Toc228978652"/>
      <w:bookmarkStart w:id="87" w:name="_Toc239680568"/>
      <w:r>
        <w:rPr>
          <w:rFonts w:hint="eastAsia"/>
        </w:rPr>
        <w:t>数据集划分</w:t>
      </w:r>
      <w:bookmarkEnd w:id="86"/>
      <w:bookmarkEnd w:id="87"/>
    </w:p>
    <w:p>
      <w:pPr>
        <w:pStyle w:val="69"/>
        <w:spacing w:before="156" w:after="156"/>
      </w:pPr>
      <w:r>
        <w:rPr>
          <w:rFonts w:hint="eastAsia"/>
        </w:rPr>
        <w:t>数据集划分要求</w:t>
      </w:r>
    </w:p>
    <w:p>
      <w:pPr>
        <w:pStyle w:val="168"/>
      </w:pPr>
      <w:r>
        <w:rPr>
          <w:rFonts w:hint="eastAsia"/>
        </w:rPr>
        <w:t>应将有效的同步匹配数据集</w:t>
      </w:r>
      <w:r>
        <w:t>采用分层随机不放回抽样划分为互不重叠的训练集、验证集和测试集三个独立部分。</w:t>
      </w:r>
    </w:p>
    <w:p>
      <w:pPr>
        <w:pStyle w:val="168"/>
      </w:pPr>
      <w:r>
        <w:rPr>
          <w:rFonts w:hint="eastAsia"/>
        </w:rPr>
        <w:t>划分</w:t>
      </w:r>
      <w:r>
        <w:t>比例应符合以下要求：</w:t>
      </w:r>
    </w:p>
    <w:p>
      <w:pPr>
        <w:pStyle w:val="136"/>
      </w:pPr>
      <w:r>
        <w:t>训练数据集</w:t>
      </w:r>
      <w:r>
        <w:rPr>
          <w:rFonts w:hint="eastAsia"/>
        </w:rPr>
        <w:t>应</w:t>
      </w:r>
      <w:r>
        <w:t>占</w:t>
      </w:r>
      <w:r>
        <w:rPr>
          <w:rFonts w:hint="eastAsia"/>
        </w:rPr>
        <w:t>同步匹配数据集</w:t>
      </w:r>
      <w:r>
        <w:t>的60%～70%，用于拟合预处理参数和模型参数</w:t>
      </w:r>
      <w:r>
        <w:rPr>
          <w:rFonts w:hint="eastAsia"/>
        </w:rPr>
        <w:t>；</w:t>
      </w:r>
    </w:p>
    <w:p>
      <w:pPr>
        <w:pStyle w:val="136"/>
      </w:pPr>
      <w:r>
        <w:t>验证数据集</w:t>
      </w:r>
      <w:r>
        <w:rPr>
          <w:rFonts w:hint="eastAsia"/>
        </w:rPr>
        <w:t>应</w:t>
      </w:r>
      <w:r>
        <w:t>占同步匹配数据集的15%～20%，用于模型选择</w:t>
      </w:r>
      <w:r>
        <w:rPr>
          <w:rFonts w:hint="eastAsia"/>
        </w:rPr>
        <w:t>、</w:t>
      </w:r>
      <w:r>
        <w:t>参数调优</w:t>
      </w:r>
      <w:r>
        <w:rPr>
          <w:rFonts w:hint="eastAsia"/>
        </w:rPr>
        <w:t>和</w:t>
      </w:r>
      <w:r>
        <w:t>防止过拟合</w:t>
      </w:r>
      <w:r>
        <w:rPr>
          <w:rFonts w:hint="eastAsia"/>
        </w:rPr>
        <w:t>；</w:t>
      </w:r>
    </w:p>
    <w:p>
      <w:pPr>
        <w:pStyle w:val="136"/>
      </w:pPr>
      <w:r>
        <w:t>测试数据集</w:t>
      </w:r>
      <w:r>
        <w:rPr>
          <w:rFonts w:hint="eastAsia"/>
        </w:rPr>
        <w:t>应</w:t>
      </w:r>
      <w:r>
        <w:t>占同步匹配数据集的15%～20%，在模型确定后一次性用于最终评价</w:t>
      </w:r>
      <w:r>
        <w:rPr>
          <w:rFonts w:hint="eastAsia"/>
        </w:rPr>
        <w:t>；</w:t>
      </w:r>
    </w:p>
    <w:p>
      <w:pPr>
        <w:pStyle w:val="136"/>
      </w:pPr>
      <w:r>
        <w:t>各集合比例之和应为100%</w:t>
      </w:r>
      <w:r>
        <w:rPr>
          <w:rFonts w:hint="eastAsia"/>
        </w:rPr>
        <w:t>。</w:t>
      </w:r>
    </w:p>
    <w:p>
      <w:pPr>
        <w:pStyle w:val="168"/>
      </w:pPr>
      <w:r>
        <w:rPr>
          <w:rFonts w:hint="eastAsia"/>
        </w:rPr>
        <w:t>当将模型应用于</w:t>
      </w:r>
      <w:r>
        <w:t>空间或时间外推时，测试集应优先由未参与训练的站点、季节或独立采样批次构成。测试结果未达到要求时，应重新进入模型开发流程并使用新的独立测试数据评价</w:t>
      </w:r>
      <w:r>
        <w:rPr>
          <w:rFonts w:hint="eastAsia"/>
        </w:rPr>
        <w:t>。</w:t>
      </w:r>
    </w:p>
    <w:p>
      <w:pPr>
        <w:pStyle w:val="109"/>
        <w:spacing w:before="156" w:after="156"/>
      </w:pPr>
      <w:bookmarkStart w:id="88" w:name="_Toc239680569"/>
      <w:bookmarkStart w:id="89" w:name="_Toc228978653"/>
      <w:r>
        <w:rPr>
          <w:rFonts w:hint="eastAsia"/>
        </w:rPr>
        <w:t>模型构建</w:t>
      </w:r>
      <w:bookmarkEnd w:id="88"/>
      <w:bookmarkEnd w:id="89"/>
    </w:p>
    <w:p>
      <w:pPr>
        <w:pStyle w:val="69"/>
        <w:spacing w:before="156" w:after="156"/>
      </w:pPr>
      <w:r>
        <w:rPr>
          <w:rFonts w:hint="eastAsia"/>
        </w:rPr>
        <w:t>模型构建要求</w:t>
      </w:r>
    </w:p>
    <w:p>
      <w:pPr>
        <w:pStyle w:val="168"/>
      </w:pPr>
      <w:r>
        <w:rPr>
          <w:rFonts w:hint="eastAsia"/>
        </w:rPr>
        <w:t>应遵循单个指标独立建模要求，每个水环境参数对应一个最优反演模型。</w:t>
      </w:r>
    </w:p>
    <w:p>
      <w:pPr>
        <w:pStyle w:val="168"/>
      </w:pPr>
      <w:r>
        <w:t>测试数据集在模型开发过程中应严格隔离，不应用于任何形式的模型训练或参数调优</w:t>
      </w:r>
      <w:r>
        <w:rPr>
          <w:rFonts w:hint="eastAsia"/>
        </w:rPr>
        <w:t>。</w:t>
      </w:r>
    </w:p>
    <w:p>
      <w:pPr>
        <w:pStyle w:val="69"/>
        <w:spacing w:before="156" w:after="156"/>
      </w:pPr>
      <w:r>
        <w:rPr>
          <w:rFonts w:hint="eastAsia"/>
        </w:rPr>
        <w:t>输入输出特征构建与选择</w:t>
      </w:r>
    </w:p>
    <w:p>
      <w:pPr>
        <w:pStyle w:val="168"/>
      </w:pPr>
      <w:r>
        <w:t>输入</w:t>
      </w:r>
      <w:r>
        <w:rPr>
          <w:rFonts w:hint="eastAsia"/>
        </w:rPr>
        <w:t>特征</w:t>
      </w:r>
      <w:r>
        <w:t>可包括400 nm～1000 nm范围内的原始反射率、导数、波段组合、光谱指数。</w:t>
      </w:r>
    </w:p>
    <w:p>
      <w:pPr>
        <w:pStyle w:val="168"/>
      </w:pPr>
      <w:r>
        <w:rPr>
          <w:rFonts w:hint="eastAsia"/>
        </w:rPr>
        <w:t>应优先选择对水环境参数具有光学响应</w:t>
      </w:r>
      <w:r>
        <w:t>或数据证据支持</w:t>
      </w:r>
      <w:r>
        <w:rPr>
          <w:rFonts w:hint="eastAsia"/>
        </w:rPr>
        <w:t>的特征。此外，也可采用相关分析（如|r|≥0.3）、特征重要性排序、递归特征消除</w:t>
      </w:r>
      <w:r>
        <w:t>或降维方法</w:t>
      </w:r>
      <w:r>
        <w:rPr>
          <w:rFonts w:hint="eastAsia"/>
        </w:rPr>
        <w:t>优选输入特征。</w:t>
      </w:r>
      <w:r>
        <w:t>筛选过程应在训练集或交叉验证内部完成，并检查共线性和选择稳定性</w:t>
      </w:r>
      <w:r>
        <w:rPr>
          <w:rFonts w:hint="eastAsia"/>
        </w:rPr>
        <w:t>。</w:t>
      </w:r>
    </w:p>
    <w:p>
      <w:pPr>
        <w:pStyle w:val="168"/>
      </w:pPr>
      <w:r>
        <w:rPr>
          <w:rFonts w:hint="eastAsia"/>
        </w:rPr>
        <w:t>应将待反演的水环境参数逐个作为输出特征用于训练目标参数反演模型。</w:t>
      </w:r>
    </w:p>
    <w:p>
      <w:pPr>
        <w:pStyle w:val="69"/>
        <w:spacing w:before="156" w:after="156"/>
      </w:pPr>
      <w:r>
        <w:rPr>
          <w:rFonts w:hint="eastAsia"/>
        </w:rPr>
        <w:t>模型类型选择</w:t>
      </w:r>
    </w:p>
    <w:p>
      <w:pPr>
        <w:pStyle w:val="168"/>
      </w:pPr>
      <w:r>
        <w:rPr>
          <w:rFonts w:hint="eastAsia"/>
        </w:rPr>
        <w:t>反演模型选择应遵循以下原则：</w:t>
      </w:r>
    </w:p>
    <w:p>
      <w:pPr>
        <w:pStyle w:val="136"/>
        <w:numPr>
          <w:ilvl w:val="0"/>
          <w:numId w:val="0"/>
        </w:numPr>
        <w:ind w:left="851"/>
      </w:pPr>
      <w:r>
        <w:t>a)适用性原则：应根据目标水环境参数的光谱响应特性、数据量大小、数据复杂度及应用场景选择合适的模型类型</w:t>
      </w:r>
      <w:r>
        <w:rPr>
          <w:rFonts w:hint="eastAsia"/>
        </w:rPr>
        <w:t>；</w:t>
      </w:r>
    </w:p>
    <w:p>
      <w:pPr>
        <w:pStyle w:val="136"/>
        <w:numPr>
          <w:ilvl w:val="0"/>
          <w:numId w:val="0"/>
        </w:numPr>
        <w:ind w:left="851"/>
      </w:pPr>
      <w:r>
        <w:rPr>
          <w:rFonts w:hint="eastAsia"/>
        </w:rPr>
        <w:t>b)</w:t>
      </w:r>
      <w:r>
        <w:t>性能优先原则：在适用性满足</w:t>
      </w:r>
      <w:r>
        <w:rPr>
          <w:rFonts w:hint="eastAsia"/>
        </w:rPr>
        <w:t>时</w:t>
      </w:r>
      <w:r>
        <w:t>，应优先选择预测精度高、泛化能力强的模型</w:t>
      </w:r>
      <w:r>
        <w:rPr>
          <w:rFonts w:hint="eastAsia"/>
        </w:rPr>
        <w:t>；</w:t>
      </w:r>
    </w:p>
    <w:p>
      <w:pPr>
        <w:pStyle w:val="136"/>
        <w:numPr>
          <w:ilvl w:val="0"/>
          <w:numId w:val="0"/>
        </w:numPr>
        <w:ind w:left="851"/>
      </w:pPr>
      <w:r>
        <w:rPr>
          <w:rFonts w:hint="eastAsia"/>
        </w:rPr>
        <w:t>c)可解释性原则：</w:t>
      </w:r>
      <w:r>
        <w:t>在精度满足要求</w:t>
      </w:r>
      <w:r>
        <w:rPr>
          <w:rFonts w:hint="eastAsia"/>
        </w:rPr>
        <w:t>时</w:t>
      </w:r>
      <w:r>
        <w:t>，</w:t>
      </w:r>
      <w:r>
        <w:rPr>
          <w:rFonts w:hint="eastAsia"/>
        </w:rPr>
        <w:t>应</w:t>
      </w:r>
      <w:r>
        <w:t>优先选择具有一定可解释性的模型</w:t>
      </w:r>
      <w:r>
        <w:rPr>
          <w:rFonts w:hint="eastAsia"/>
        </w:rPr>
        <w:t>；</w:t>
      </w:r>
    </w:p>
    <w:p>
      <w:pPr>
        <w:pStyle w:val="136"/>
        <w:numPr>
          <w:ilvl w:val="0"/>
          <w:numId w:val="0"/>
        </w:numPr>
        <w:ind w:left="851"/>
      </w:pPr>
      <w:r>
        <w:rPr>
          <w:rFonts w:hint="eastAsia"/>
        </w:rPr>
        <w:t>d)</w:t>
      </w:r>
      <w:r>
        <w:t>效率原则：应考虑模型训练和推理的计算效率，与业务应用需求相匹配</w:t>
      </w:r>
      <w:r>
        <w:rPr>
          <w:rFonts w:hint="eastAsia"/>
        </w:rPr>
        <w:t>。</w:t>
      </w:r>
    </w:p>
    <w:p>
      <w:pPr>
        <w:pStyle w:val="168"/>
      </w:pPr>
      <w:r>
        <w:t>模型类型与选择依据</w:t>
      </w:r>
      <w:r>
        <w:rPr>
          <w:rFonts w:hint="eastAsia"/>
        </w:rPr>
        <w:t xml:space="preserve"> 应根据目标参数光学特性、</w:t>
      </w:r>
      <w:r>
        <w:t>样本量和数据特征选择反演模型</w:t>
      </w:r>
      <w:r>
        <w:rPr>
          <w:rFonts w:hint="eastAsia"/>
        </w:rPr>
        <w:t>，各类常见模型适应条件见表3。</w:t>
      </w:r>
    </w:p>
    <w:p>
      <w:pPr>
        <w:pStyle w:val="116"/>
        <w:spacing w:before="156" w:after="156"/>
      </w:pPr>
      <w:r>
        <w:t>常用反演模型类型与适用条件</w:t>
      </w:r>
    </w:p>
    <w:tbl>
      <w:tblPr>
        <w:tblStyle w:val="30"/>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734"/>
        <w:gridCol w:w="3579"/>
        <w:gridCol w:w="425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906" w:type="pct"/>
            <w:vAlign w:val="center"/>
          </w:tcPr>
          <w:p>
            <w:pPr>
              <w:widowControl/>
              <w:spacing w:line="240" w:lineRule="auto"/>
              <w:jc w:val="center"/>
              <w:rPr>
                <w:rFonts w:ascii="宋体" w:hAnsi="宋体"/>
                <w:color w:val="000000"/>
                <w:kern w:val="0"/>
                <w:sz w:val="18"/>
                <w:szCs w:val="18"/>
                <w:lang w:bidi="ar"/>
              </w:rPr>
            </w:pPr>
            <w:r>
              <w:rPr>
                <w:rFonts w:hint="eastAsia" w:ascii="宋体" w:hAnsi="宋体"/>
                <w:color w:val="000000"/>
                <w:kern w:val="0"/>
                <w:sz w:val="18"/>
                <w:szCs w:val="18"/>
                <w:lang w:bidi="ar"/>
              </w:rPr>
              <w:t>模型类型</w:t>
            </w:r>
          </w:p>
        </w:tc>
        <w:tc>
          <w:tcPr>
            <w:tcW w:w="1870" w:type="pct"/>
            <w:vAlign w:val="center"/>
          </w:tcPr>
          <w:p>
            <w:pPr>
              <w:widowControl/>
              <w:spacing w:line="240" w:lineRule="auto"/>
              <w:jc w:val="center"/>
              <w:rPr>
                <w:rFonts w:ascii="宋体" w:hAnsi="宋体"/>
                <w:color w:val="000000"/>
                <w:kern w:val="0"/>
                <w:sz w:val="18"/>
                <w:szCs w:val="18"/>
                <w:lang w:bidi="ar"/>
              </w:rPr>
            </w:pPr>
            <w:r>
              <w:rPr>
                <w:rFonts w:hint="eastAsia" w:ascii="宋体" w:hAnsi="宋体"/>
                <w:color w:val="000000"/>
                <w:kern w:val="0"/>
                <w:sz w:val="18"/>
                <w:szCs w:val="18"/>
                <w:lang w:bidi="ar"/>
              </w:rPr>
              <w:t>常用模型</w:t>
            </w:r>
          </w:p>
        </w:tc>
        <w:tc>
          <w:tcPr>
            <w:tcW w:w="2224" w:type="pct"/>
          </w:tcPr>
          <w:p>
            <w:pPr>
              <w:widowControl/>
              <w:spacing w:line="240" w:lineRule="auto"/>
              <w:jc w:val="center"/>
              <w:rPr>
                <w:rFonts w:ascii="宋体" w:hAnsi="宋体"/>
                <w:color w:val="000000"/>
                <w:kern w:val="0"/>
                <w:sz w:val="18"/>
                <w:szCs w:val="18"/>
                <w:lang w:bidi="ar"/>
              </w:rPr>
            </w:pPr>
            <w:r>
              <w:rPr>
                <w:rFonts w:hint="eastAsia" w:ascii="宋体" w:hAnsi="宋体"/>
                <w:color w:val="000000"/>
                <w:kern w:val="0"/>
                <w:sz w:val="18"/>
                <w:szCs w:val="18"/>
                <w:lang w:bidi="ar"/>
              </w:rPr>
              <w:t>选择依据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9" w:hRule="exact"/>
          <w:jc w:val="center"/>
        </w:trPr>
        <w:tc>
          <w:tcPr>
            <w:tcW w:w="906" w:type="pct"/>
            <w:vAlign w:val="center"/>
          </w:tcPr>
          <w:p>
            <w:pPr>
              <w:widowControl/>
              <w:spacing w:line="240" w:lineRule="auto"/>
              <w:rPr>
                <w:rFonts w:ascii="宋体" w:hAnsi="宋体"/>
                <w:color w:val="000000"/>
                <w:kern w:val="0"/>
                <w:sz w:val="18"/>
                <w:szCs w:val="18"/>
                <w:lang w:bidi="ar"/>
              </w:rPr>
            </w:pPr>
            <w:r>
              <w:rPr>
                <w:rFonts w:hint="eastAsia" w:ascii="宋体" w:hAnsi="宋体"/>
                <w:color w:val="000000"/>
                <w:kern w:val="0"/>
                <w:sz w:val="18"/>
                <w:szCs w:val="18"/>
                <w:lang w:bidi="ar"/>
              </w:rPr>
              <w:t>统计模型</w:t>
            </w:r>
          </w:p>
        </w:tc>
        <w:tc>
          <w:tcPr>
            <w:tcW w:w="1870" w:type="pct"/>
            <w:vAlign w:val="center"/>
          </w:tcPr>
          <w:p>
            <w:pPr>
              <w:widowControl/>
              <w:spacing w:line="240" w:lineRule="auto"/>
              <w:rPr>
                <w:rFonts w:ascii="宋体" w:hAnsi="宋体"/>
                <w:color w:val="000000"/>
                <w:kern w:val="0"/>
                <w:sz w:val="18"/>
                <w:szCs w:val="18"/>
                <w:lang w:bidi="ar"/>
              </w:rPr>
            </w:pPr>
            <w:r>
              <w:rPr>
                <w:rFonts w:hint="eastAsia" w:ascii="宋体" w:hAnsi="宋体"/>
                <w:color w:val="000000"/>
                <w:kern w:val="0"/>
                <w:sz w:val="18"/>
                <w:szCs w:val="18"/>
                <w:lang w:bidi="ar"/>
              </w:rPr>
              <w:t>多元线性回归模型、偏最小二乘回归模型</w:t>
            </w:r>
          </w:p>
        </w:tc>
        <w:tc>
          <w:tcPr>
            <w:tcW w:w="2224" w:type="pct"/>
          </w:tcPr>
          <w:p>
            <w:pPr>
              <w:widowControl/>
              <w:spacing w:line="240" w:lineRule="auto"/>
              <w:rPr>
                <w:rFonts w:ascii="宋体" w:hAnsi="宋体"/>
                <w:color w:val="000000"/>
                <w:kern w:val="0"/>
                <w:sz w:val="18"/>
                <w:szCs w:val="18"/>
                <w:lang w:bidi="ar"/>
              </w:rPr>
            </w:pPr>
            <w:r>
              <w:rPr>
                <w:rFonts w:ascii="宋体" w:hAnsi="宋体"/>
                <w:color w:val="000000"/>
                <w:kern w:val="0"/>
                <w:sz w:val="18"/>
                <w:szCs w:val="18"/>
                <w:lang w:bidi="ar"/>
              </w:rPr>
              <w:t>样本量＜200组，或</w:t>
            </w:r>
            <w:r>
              <w:rPr>
                <w:rFonts w:hint="eastAsia" w:ascii="宋体" w:hAnsi="宋体"/>
                <w:color w:val="000000"/>
                <w:kern w:val="0"/>
                <w:sz w:val="18"/>
                <w:szCs w:val="18"/>
                <w:lang w:bidi="ar"/>
              </w:rPr>
              <w:t>目标</w:t>
            </w:r>
            <w:r>
              <w:rPr>
                <w:rFonts w:ascii="宋体" w:hAnsi="宋体"/>
                <w:color w:val="000000"/>
                <w:kern w:val="0"/>
                <w:sz w:val="18"/>
                <w:szCs w:val="18"/>
                <w:lang w:bidi="ar"/>
              </w:rPr>
              <w:t>参数</w:t>
            </w:r>
            <w:r>
              <w:rPr>
                <w:rFonts w:hint="eastAsia" w:ascii="宋体" w:hAnsi="宋体"/>
                <w:color w:val="000000"/>
                <w:kern w:val="0"/>
                <w:sz w:val="18"/>
                <w:szCs w:val="18"/>
                <w:lang w:bidi="ar"/>
              </w:rPr>
              <w:t>具有光谱响应，</w:t>
            </w:r>
            <w:r>
              <w:rPr>
                <w:rFonts w:ascii="宋体" w:hAnsi="宋体"/>
                <w:color w:val="000000"/>
                <w:kern w:val="0"/>
                <w:sz w:val="18"/>
                <w:szCs w:val="18"/>
                <w:lang w:bidi="ar"/>
              </w:rPr>
              <w:t>存在线性关系</w:t>
            </w:r>
            <w:r>
              <w:rPr>
                <w:rFonts w:hint="eastAsia" w:ascii="宋体" w:hAnsi="宋体"/>
                <w:color w:val="000000"/>
                <w:kern w:val="0"/>
                <w:sz w:val="18"/>
                <w:szCs w:val="18"/>
                <w:lang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63" w:hRule="exact"/>
          <w:jc w:val="center"/>
        </w:trPr>
        <w:tc>
          <w:tcPr>
            <w:tcW w:w="906" w:type="pct"/>
            <w:vAlign w:val="center"/>
          </w:tcPr>
          <w:p>
            <w:pPr>
              <w:widowControl/>
              <w:spacing w:line="240" w:lineRule="auto"/>
              <w:rPr>
                <w:rFonts w:ascii="宋体" w:hAnsi="宋体"/>
                <w:color w:val="000000"/>
                <w:kern w:val="0"/>
                <w:sz w:val="18"/>
                <w:szCs w:val="18"/>
                <w:lang w:bidi="ar"/>
              </w:rPr>
            </w:pPr>
            <w:r>
              <w:rPr>
                <w:rFonts w:ascii="宋体" w:hAnsi="宋体"/>
                <w:color w:val="000000"/>
                <w:kern w:val="0"/>
                <w:sz w:val="18"/>
                <w:szCs w:val="18"/>
                <w:lang w:bidi="ar"/>
              </w:rPr>
              <w:t>机器学习模型</w:t>
            </w:r>
          </w:p>
        </w:tc>
        <w:tc>
          <w:tcPr>
            <w:tcW w:w="1870" w:type="pct"/>
            <w:vAlign w:val="center"/>
          </w:tcPr>
          <w:p>
            <w:pPr>
              <w:widowControl/>
              <w:spacing w:line="240" w:lineRule="auto"/>
              <w:rPr>
                <w:rFonts w:ascii="宋体" w:hAnsi="宋体"/>
                <w:color w:val="000000"/>
                <w:kern w:val="0"/>
                <w:sz w:val="18"/>
                <w:szCs w:val="18"/>
                <w:lang w:bidi="ar"/>
              </w:rPr>
            </w:pPr>
            <w:r>
              <w:rPr>
                <w:rFonts w:ascii="宋体" w:hAnsi="宋体"/>
                <w:color w:val="000000"/>
                <w:kern w:val="0"/>
                <w:sz w:val="18"/>
                <w:szCs w:val="18"/>
                <w:lang w:bidi="ar"/>
              </w:rPr>
              <w:t>支持向量机回归</w:t>
            </w:r>
            <w:r>
              <w:rPr>
                <w:rFonts w:hint="eastAsia" w:ascii="宋体" w:hAnsi="宋体"/>
                <w:color w:val="000000"/>
                <w:kern w:val="0"/>
                <w:sz w:val="18"/>
                <w:szCs w:val="18"/>
                <w:lang w:bidi="ar"/>
              </w:rPr>
              <w:t>模型</w:t>
            </w:r>
            <w:r>
              <w:rPr>
                <w:rFonts w:ascii="宋体" w:hAnsi="宋体"/>
                <w:color w:val="000000"/>
                <w:kern w:val="0"/>
                <w:sz w:val="18"/>
                <w:szCs w:val="18"/>
                <w:lang w:bidi="ar"/>
              </w:rPr>
              <w:t>、随机森林</w:t>
            </w:r>
            <w:r>
              <w:rPr>
                <w:rFonts w:hint="eastAsia" w:ascii="宋体" w:hAnsi="宋体"/>
                <w:color w:val="000000"/>
                <w:kern w:val="0"/>
                <w:sz w:val="18"/>
                <w:szCs w:val="18"/>
                <w:lang w:bidi="ar"/>
              </w:rPr>
              <w:t>模型</w:t>
            </w:r>
            <w:r>
              <w:rPr>
                <w:rFonts w:ascii="宋体" w:hAnsi="宋体"/>
                <w:color w:val="000000"/>
                <w:kern w:val="0"/>
                <w:sz w:val="18"/>
                <w:szCs w:val="18"/>
                <w:lang w:bidi="ar"/>
              </w:rPr>
              <w:t>、极端梯度提升</w:t>
            </w:r>
            <w:r>
              <w:rPr>
                <w:rFonts w:hint="eastAsia" w:ascii="宋体" w:hAnsi="宋体"/>
                <w:color w:val="000000"/>
                <w:kern w:val="0"/>
                <w:sz w:val="18"/>
                <w:szCs w:val="18"/>
                <w:lang w:bidi="ar"/>
              </w:rPr>
              <w:t>树模型</w:t>
            </w:r>
            <w:r>
              <w:rPr>
                <w:rFonts w:ascii="宋体" w:hAnsi="宋体"/>
                <w:color w:val="000000"/>
                <w:kern w:val="0"/>
                <w:sz w:val="18"/>
                <w:szCs w:val="18"/>
                <w:lang w:bidi="ar"/>
              </w:rPr>
              <w:t>、轻量梯度提升</w:t>
            </w:r>
            <w:r>
              <w:rPr>
                <w:rFonts w:hint="eastAsia" w:ascii="宋体" w:hAnsi="宋体"/>
                <w:color w:val="000000"/>
                <w:kern w:val="0"/>
                <w:sz w:val="18"/>
                <w:szCs w:val="18"/>
                <w:lang w:bidi="ar"/>
              </w:rPr>
              <w:t>树模型</w:t>
            </w:r>
          </w:p>
        </w:tc>
        <w:tc>
          <w:tcPr>
            <w:tcW w:w="2224" w:type="pct"/>
          </w:tcPr>
          <w:p>
            <w:pPr>
              <w:widowControl/>
              <w:spacing w:line="240" w:lineRule="auto"/>
              <w:rPr>
                <w:rFonts w:ascii="宋体" w:hAnsi="宋体"/>
                <w:color w:val="000000"/>
                <w:kern w:val="0"/>
                <w:sz w:val="18"/>
                <w:szCs w:val="18"/>
                <w:lang w:bidi="ar"/>
              </w:rPr>
            </w:pPr>
            <w:r>
              <w:rPr>
                <w:rFonts w:ascii="宋体" w:hAnsi="宋体"/>
                <w:color w:val="000000"/>
                <w:kern w:val="0"/>
                <w:sz w:val="18"/>
                <w:szCs w:val="18"/>
                <w:lang w:bidi="ar"/>
              </w:rPr>
              <w:t>样本量200～2000组，</w:t>
            </w:r>
            <w:r>
              <w:rPr>
                <w:rFonts w:hint="eastAsia" w:ascii="宋体" w:hAnsi="宋体"/>
                <w:color w:val="000000"/>
                <w:kern w:val="0"/>
                <w:sz w:val="18"/>
                <w:szCs w:val="18"/>
                <w:lang w:bidi="ar"/>
              </w:rPr>
              <w:t>目标参数</w:t>
            </w:r>
            <w:r>
              <w:rPr>
                <w:rFonts w:ascii="宋体" w:hAnsi="宋体"/>
                <w:color w:val="000000"/>
                <w:kern w:val="0"/>
                <w:sz w:val="18"/>
                <w:szCs w:val="18"/>
                <w:lang w:bidi="ar"/>
              </w:rPr>
              <w:t>与光谱特征存在非线性关系</w:t>
            </w:r>
            <w:r>
              <w:rPr>
                <w:rFonts w:hint="eastAsia" w:ascii="宋体" w:hAnsi="宋体"/>
                <w:color w:val="000000"/>
                <w:kern w:val="0"/>
                <w:sz w:val="18"/>
                <w:szCs w:val="18"/>
                <w:lang w:bidi="ar"/>
              </w:rPr>
              <w:t>；</w:t>
            </w:r>
            <w:r>
              <w:rPr>
                <w:rFonts w:ascii="宋体" w:hAnsi="宋体"/>
                <w:color w:val="000000"/>
                <w:kern w:val="0"/>
                <w:sz w:val="18"/>
                <w:szCs w:val="18"/>
                <w:lang w:bidi="ar"/>
              </w:rPr>
              <w:t>或目标参数具有光谱响应</w:t>
            </w:r>
            <w:r>
              <w:rPr>
                <w:rFonts w:hint="eastAsia" w:ascii="宋体" w:hAnsi="宋体"/>
                <w:color w:val="000000"/>
                <w:kern w:val="0"/>
                <w:sz w:val="18"/>
                <w:szCs w:val="18"/>
                <w:lang w:bidi="ar"/>
              </w:rPr>
              <w:t>，存在线性关系。</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9" w:hRule="exact"/>
          <w:jc w:val="center"/>
        </w:trPr>
        <w:tc>
          <w:tcPr>
            <w:tcW w:w="906" w:type="pct"/>
            <w:vAlign w:val="center"/>
          </w:tcPr>
          <w:p>
            <w:pPr>
              <w:widowControl/>
              <w:spacing w:line="240" w:lineRule="auto"/>
              <w:rPr>
                <w:rFonts w:ascii="宋体" w:hAnsi="宋体"/>
                <w:color w:val="000000"/>
                <w:kern w:val="0"/>
                <w:sz w:val="18"/>
                <w:szCs w:val="18"/>
                <w:lang w:bidi="ar"/>
              </w:rPr>
            </w:pPr>
            <w:r>
              <w:rPr>
                <w:rFonts w:ascii="宋体" w:hAnsi="宋体"/>
                <w:color w:val="000000"/>
                <w:kern w:val="0"/>
                <w:sz w:val="18"/>
                <w:szCs w:val="18"/>
                <w:lang w:bidi="ar"/>
              </w:rPr>
              <w:t>深度学习模型</w:t>
            </w:r>
          </w:p>
        </w:tc>
        <w:tc>
          <w:tcPr>
            <w:tcW w:w="1870" w:type="pct"/>
            <w:vAlign w:val="center"/>
          </w:tcPr>
          <w:p>
            <w:pPr>
              <w:widowControl/>
              <w:spacing w:line="240" w:lineRule="auto"/>
              <w:rPr>
                <w:rFonts w:ascii="宋体" w:hAnsi="宋体"/>
                <w:color w:val="000000"/>
                <w:kern w:val="0"/>
                <w:sz w:val="18"/>
                <w:szCs w:val="18"/>
                <w:lang w:bidi="ar"/>
              </w:rPr>
            </w:pPr>
            <w:r>
              <w:rPr>
                <w:rFonts w:hint="eastAsia" w:ascii="宋体" w:hAnsi="宋体"/>
                <w:color w:val="000000"/>
                <w:kern w:val="0"/>
                <w:sz w:val="18"/>
                <w:szCs w:val="18"/>
                <w:lang w:bidi="ar"/>
              </w:rPr>
              <w:t>深度</w:t>
            </w:r>
            <w:r>
              <w:rPr>
                <w:rFonts w:ascii="宋体" w:hAnsi="宋体"/>
                <w:color w:val="000000"/>
                <w:kern w:val="0"/>
                <w:sz w:val="18"/>
                <w:szCs w:val="18"/>
                <w:lang w:bidi="ar"/>
              </w:rPr>
              <w:t>神经网络</w:t>
            </w:r>
            <w:r>
              <w:rPr>
                <w:rFonts w:hint="eastAsia" w:ascii="宋体" w:hAnsi="宋体"/>
                <w:color w:val="000000"/>
                <w:kern w:val="0"/>
                <w:sz w:val="18"/>
                <w:szCs w:val="18"/>
                <w:lang w:bidi="ar"/>
              </w:rPr>
              <w:t>模型</w:t>
            </w:r>
            <w:r>
              <w:rPr>
                <w:rFonts w:ascii="宋体" w:hAnsi="宋体"/>
                <w:color w:val="000000"/>
                <w:kern w:val="0"/>
                <w:sz w:val="18"/>
                <w:szCs w:val="18"/>
                <w:lang w:bidi="ar"/>
              </w:rPr>
              <w:t>、卷积神经网络</w:t>
            </w:r>
            <w:r>
              <w:rPr>
                <w:rFonts w:hint="eastAsia" w:ascii="宋体" w:hAnsi="宋体"/>
                <w:color w:val="000000"/>
                <w:kern w:val="0"/>
                <w:sz w:val="18"/>
                <w:szCs w:val="18"/>
                <w:lang w:bidi="ar"/>
              </w:rPr>
              <w:t>模型、</w:t>
            </w:r>
            <w:r>
              <w:rPr>
                <w:rFonts w:ascii="宋体" w:hAnsi="宋体"/>
                <w:color w:val="000000"/>
                <w:kern w:val="0"/>
                <w:sz w:val="18"/>
                <w:szCs w:val="18"/>
                <w:lang w:bidi="ar"/>
              </w:rPr>
              <w:t>长短期记忆网络</w:t>
            </w:r>
            <w:r>
              <w:rPr>
                <w:rFonts w:hint="eastAsia" w:ascii="宋体" w:hAnsi="宋体"/>
                <w:color w:val="000000"/>
                <w:kern w:val="0"/>
                <w:sz w:val="18"/>
                <w:szCs w:val="18"/>
                <w:lang w:bidi="ar"/>
              </w:rPr>
              <w:t>模型</w:t>
            </w:r>
          </w:p>
        </w:tc>
        <w:tc>
          <w:tcPr>
            <w:tcW w:w="2224" w:type="pct"/>
          </w:tcPr>
          <w:p>
            <w:pPr>
              <w:widowControl/>
              <w:spacing w:line="240" w:lineRule="auto"/>
              <w:rPr>
                <w:rFonts w:ascii="宋体" w:hAnsi="宋体"/>
                <w:color w:val="000000"/>
                <w:kern w:val="0"/>
                <w:sz w:val="18"/>
                <w:szCs w:val="18"/>
                <w:lang w:bidi="ar"/>
              </w:rPr>
            </w:pPr>
            <w:r>
              <w:rPr>
                <w:rFonts w:ascii="宋体" w:hAnsi="宋体"/>
                <w:color w:val="000000"/>
                <w:kern w:val="0"/>
                <w:sz w:val="18"/>
                <w:szCs w:val="18"/>
                <w:lang w:bidi="ar"/>
              </w:rPr>
              <w:t>样本量＞2000组、数据特征复杂、追求更高精度</w:t>
            </w:r>
            <w:r>
              <w:rPr>
                <w:rFonts w:hint="eastAsia" w:ascii="宋体" w:hAnsi="宋体"/>
                <w:color w:val="000000"/>
                <w:kern w:val="0"/>
                <w:sz w:val="18"/>
                <w:szCs w:val="18"/>
                <w:lang w:bidi="ar"/>
              </w:rPr>
              <w:t>；目标参数</w:t>
            </w:r>
            <w:r>
              <w:rPr>
                <w:rFonts w:ascii="宋体" w:hAnsi="宋体"/>
                <w:color w:val="000000"/>
                <w:kern w:val="0"/>
                <w:sz w:val="18"/>
                <w:szCs w:val="18"/>
                <w:lang w:bidi="ar"/>
              </w:rPr>
              <w:t>与光谱特征存在</w:t>
            </w:r>
            <w:r>
              <w:rPr>
                <w:rFonts w:hint="eastAsia" w:ascii="宋体" w:hAnsi="宋体"/>
                <w:color w:val="000000"/>
                <w:kern w:val="0"/>
                <w:sz w:val="18"/>
                <w:szCs w:val="18"/>
                <w:lang w:bidi="ar"/>
              </w:rPr>
              <w:t>线性或</w:t>
            </w:r>
            <w:r>
              <w:rPr>
                <w:rFonts w:ascii="宋体" w:hAnsi="宋体"/>
                <w:color w:val="000000"/>
                <w:kern w:val="0"/>
                <w:sz w:val="18"/>
                <w:szCs w:val="18"/>
                <w:lang w:bidi="ar"/>
              </w:rPr>
              <w:t>非线性关系</w:t>
            </w:r>
            <w:r>
              <w:rPr>
                <w:rFonts w:hint="eastAsia" w:ascii="宋体" w:hAnsi="宋体"/>
                <w:color w:val="000000"/>
                <w:kern w:val="0"/>
                <w:sz w:val="18"/>
                <w:szCs w:val="18"/>
                <w:lang w:bidi="ar"/>
              </w:rPr>
              <w:t>皆可。</w:t>
            </w:r>
          </w:p>
        </w:tc>
      </w:tr>
    </w:tbl>
    <w:p>
      <w:pPr>
        <w:pStyle w:val="69"/>
        <w:spacing w:before="156" w:after="156"/>
      </w:pPr>
      <w:r>
        <w:rPr>
          <w:rFonts w:hint="eastAsia"/>
        </w:rPr>
        <w:t>模型训练</w:t>
      </w:r>
    </w:p>
    <w:p>
      <w:pPr>
        <w:pStyle w:val="168"/>
      </w:pPr>
      <w:r>
        <w:rPr>
          <w:rFonts w:hint="eastAsia"/>
        </w:rPr>
        <w:t>可采用格网搜索、随机搜索和贝叶斯优化等方法调优参数，常用模型参数见表3。</w:t>
      </w:r>
    </w:p>
    <w:p>
      <w:pPr>
        <w:pStyle w:val="168"/>
      </w:pPr>
      <w:r>
        <w:rPr>
          <w:rFonts w:hint="eastAsia"/>
        </w:rPr>
        <w:t>参数搜索时应监控损失函数变化情况，可采用均方误差（MSE）或平均绝对误差（MAE）作为损失函数。对于</w:t>
      </w:r>
      <w:r>
        <w:t>需要迭代优化的模型</w:t>
      </w:r>
      <w:r>
        <w:rPr>
          <w:rFonts w:hint="eastAsia"/>
        </w:rPr>
        <w:t>应选择</w:t>
      </w:r>
      <w:r>
        <w:t>优化器</w:t>
      </w:r>
      <w:r>
        <w:rPr>
          <w:rFonts w:hint="eastAsia"/>
        </w:rPr>
        <w:t>调整模型权重和偏置以最小化损失函数，包括梯度下降（SGD）或Adam或AdamW三种优化器。</w:t>
      </w:r>
    </w:p>
    <w:p>
      <w:pPr>
        <w:pStyle w:val="168"/>
      </w:pPr>
      <w:r>
        <w:t>参数优化搜索过程中，存在下列任一情况时应停止训练优化</w:t>
      </w:r>
      <w:r>
        <w:rPr>
          <w:rFonts w:hint="eastAsia"/>
        </w:rPr>
        <w:t>：</w:t>
      </w:r>
    </w:p>
    <w:p>
      <w:pPr>
        <w:pStyle w:val="136"/>
      </w:pPr>
      <w:r>
        <w:rPr>
          <w:rFonts w:hint="eastAsia"/>
        </w:rPr>
        <w:t>所有的候选参数组合均已穷举评估完毕；</w:t>
      </w:r>
    </w:p>
    <w:p>
      <w:pPr>
        <w:pStyle w:val="136"/>
      </w:pPr>
      <w:r>
        <w:rPr>
          <w:rFonts w:hint="eastAsia"/>
        </w:rPr>
        <w:t>达到预设最大的迭代次数；</w:t>
      </w:r>
    </w:p>
    <w:p>
      <w:pPr>
        <w:pStyle w:val="136"/>
      </w:pPr>
      <w:r>
        <w:rPr>
          <w:rFonts w:hint="eastAsia"/>
        </w:rPr>
        <w:t>模型的损失函数性能提升＜0.1% 且持续10轮或验证集性能开始下降。</w:t>
      </w:r>
    </w:p>
    <w:p>
      <w:pPr>
        <w:pStyle w:val="168"/>
      </w:pPr>
      <w:r>
        <w:rPr>
          <w:rFonts w:hint="eastAsia"/>
        </w:rPr>
        <w:t>应详细记录搜索范围、方法、最佳参数组合及验证数据集上的性能指标。</w:t>
      </w:r>
    </w:p>
    <w:p>
      <w:pPr>
        <w:pStyle w:val="168"/>
      </w:pPr>
      <w:r>
        <w:rPr>
          <w:rFonts w:hint="eastAsia"/>
        </w:rPr>
        <w:t>模型训练应采用正则化（如L2正则化）或早停或降低模型复杂度等方法控制过拟合。</w:t>
      </w:r>
    </w:p>
    <w:p>
      <w:pPr>
        <w:pStyle w:val="116"/>
        <w:spacing w:before="156" w:after="156"/>
      </w:pPr>
      <w:r>
        <w:rPr>
          <w:rFonts w:hint="eastAsia"/>
        </w:rPr>
        <w:t>可调参数示例</w:t>
      </w:r>
    </w:p>
    <w:tbl>
      <w:tblPr>
        <w:tblStyle w:val="30"/>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904"/>
        <w:gridCol w:w="766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995" w:type="pct"/>
            <w:vAlign w:val="center"/>
          </w:tcPr>
          <w:p>
            <w:pPr>
              <w:widowControl/>
              <w:spacing w:line="240" w:lineRule="auto"/>
              <w:jc w:val="center"/>
              <w:rPr>
                <w:rFonts w:ascii="宋体" w:hAnsi="宋体"/>
                <w:color w:val="000000"/>
                <w:kern w:val="0"/>
                <w:sz w:val="18"/>
                <w:szCs w:val="18"/>
                <w:lang w:bidi="ar"/>
              </w:rPr>
            </w:pPr>
            <w:r>
              <w:rPr>
                <w:rFonts w:ascii="宋体" w:hAnsi="宋体"/>
                <w:color w:val="000000"/>
                <w:kern w:val="0"/>
                <w:sz w:val="18"/>
                <w:szCs w:val="18"/>
                <w:lang w:bidi="ar"/>
              </w:rPr>
              <w:t>模型</w:t>
            </w:r>
          </w:p>
        </w:tc>
        <w:tc>
          <w:tcPr>
            <w:tcW w:w="4005" w:type="pct"/>
            <w:vAlign w:val="center"/>
          </w:tcPr>
          <w:p>
            <w:pPr>
              <w:widowControl/>
              <w:spacing w:line="240" w:lineRule="auto"/>
              <w:jc w:val="center"/>
              <w:rPr>
                <w:rFonts w:ascii="宋体" w:hAnsi="宋体"/>
                <w:color w:val="000000"/>
                <w:kern w:val="0"/>
                <w:sz w:val="18"/>
                <w:szCs w:val="18"/>
                <w:lang w:bidi="ar"/>
              </w:rPr>
            </w:pPr>
            <w:r>
              <w:rPr>
                <w:rFonts w:ascii="宋体" w:hAnsi="宋体"/>
                <w:color w:val="000000"/>
                <w:kern w:val="0"/>
                <w:sz w:val="18"/>
                <w:szCs w:val="18"/>
                <w:lang w:bidi="ar"/>
              </w:rPr>
              <w:t>主要参数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995" w:type="pct"/>
            <w:vAlign w:val="center"/>
          </w:tcPr>
          <w:p>
            <w:pPr>
              <w:widowControl/>
              <w:spacing w:line="240" w:lineRule="auto"/>
              <w:jc w:val="center"/>
              <w:rPr>
                <w:rFonts w:ascii="宋体" w:hAnsi="宋体"/>
                <w:color w:val="000000"/>
                <w:kern w:val="0"/>
                <w:sz w:val="18"/>
                <w:szCs w:val="18"/>
                <w:lang w:bidi="ar"/>
              </w:rPr>
            </w:pPr>
            <w:r>
              <w:rPr>
                <w:rFonts w:ascii="宋体" w:hAnsi="宋体"/>
                <w:color w:val="000000"/>
                <w:kern w:val="0"/>
                <w:sz w:val="18"/>
                <w:szCs w:val="18"/>
                <w:lang w:bidi="ar"/>
              </w:rPr>
              <w:t>线性与正则化回归</w:t>
            </w:r>
            <w:r>
              <w:rPr>
                <w:rFonts w:hint="eastAsia" w:ascii="宋体" w:hAnsi="宋体"/>
                <w:color w:val="000000"/>
                <w:kern w:val="0"/>
                <w:sz w:val="18"/>
                <w:szCs w:val="18"/>
                <w:lang w:bidi="ar"/>
              </w:rPr>
              <w:t>模型</w:t>
            </w:r>
          </w:p>
        </w:tc>
        <w:tc>
          <w:tcPr>
            <w:tcW w:w="4005" w:type="pct"/>
            <w:vAlign w:val="center"/>
          </w:tcPr>
          <w:p>
            <w:pPr>
              <w:widowControl/>
              <w:spacing w:line="240" w:lineRule="auto"/>
              <w:jc w:val="center"/>
              <w:rPr>
                <w:rFonts w:ascii="宋体" w:hAnsi="宋体"/>
                <w:color w:val="000000"/>
                <w:kern w:val="0"/>
                <w:sz w:val="18"/>
                <w:szCs w:val="18"/>
                <w:lang w:bidi="ar"/>
              </w:rPr>
            </w:pPr>
            <w:r>
              <w:rPr>
                <w:rFonts w:ascii="宋体" w:hAnsi="宋体"/>
                <w:color w:val="000000"/>
                <w:kern w:val="0"/>
                <w:sz w:val="18"/>
                <w:szCs w:val="18"/>
                <w:lang w:bidi="ar"/>
              </w:rPr>
              <w:t>变量选择、正则化类型、正则化强度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995" w:type="pct"/>
            <w:vAlign w:val="center"/>
          </w:tcPr>
          <w:p>
            <w:pPr>
              <w:widowControl/>
              <w:spacing w:line="240" w:lineRule="auto"/>
              <w:jc w:val="center"/>
              <w:rPr>
                <w:rFonts w:ascii="宋体" w:hAnsi="宋体"/>
                <w:color w:val="000000"/>
                <w:kern w:val="0"/>
                <w:sz w:val="18"/>
                <w:szCs w:val="18"/>
                <w:lang w:bidi="ar"/>
              </w:rPr>
            </w:pPr>
            <w:r>
              <w:rPr>
                <w:rFonts w:ascii="宋体" w:hAnsi="宋体"/>
                <w:color w:val="000000"/>
                <w:kern w:val="0"/>
                <w:sz w:val="18"/>
                <w:szCs w:val="18"/>
                <w:lang w:bidi="ar"/>
              </w:rPr>
              <w:t>偏最小二乘回归</w:t>
            </w:r>
          </w:p>
        </w:tc>
        <w:tc>
          <w:tcPr>
            <w:tcW w:w="4005" w:type="pct"/>
            <w:vAlign w:val="center"/>
          </w:tcPr>
          <w:p>
            <w:pPr>
              <w:widowControl/>
              <w:spacing w:line="240" w:lineRule="auto"/>
              <w:jc w:val="center"/>
              <w:rPr>
                <w:rFonts w:ascii="宋体" w:hAnsi="宋体"/>
                <w:color w:val="000000"/>
                <w:kern w:val="0"/>
                <w:sz w:val="18"/>
                <w:szCs w:val="18"/>
                <w:lang w:bidi="ar"/>
              </w:rPr>
            </w:pPr>
            <w:r>
              <w:rPr>
                <w:rFonts w:ascii="宋体" w:hAnsi="宋体"/>
                <w:color w:val="000000"/>
                <w:kern w:val="0"/>
                <w:sz w:val="18"/>
                <w:szCs w:val="18"/>
                <w:lang w:bidi="ar"/>
              </w:rPr>
              <w:t>潜变量数、标准化方法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995" w:type="pct"/>
            <w:vAlign w:val="center"/>
          </w:tcPr>
          <w:p>
            <w:pPr>
              <w:widowControl/>
              <w:spacing w:line="240" w:lineRule="auto"/>
              <w:jc w:val="center"/>
              <w:rPr>
                <w:rFonts w:ascii="宋体" w:hAnsi="宋体"/>
                <w:color w:val="000000"/>
                <w:kern w:val="0"/>
                <w:sz w:val="18"/>
                <w:szCs w:val="18"/>
                <w:lang w:bidi="ar"/>
              </w:rPr>
            </w:pPr>
            <w:r>
              <w:rPr>
                <w:rFonts w:ascii="宋体" w:hAnsi="宋体"/>
                <w:color w:val="000000"/>
                <w:kern w:val="0"/>
                <w:sz w:val="18"/>
                <w:szCs w:val="18"/>
                <w:lang w:bidi="ar"/>
              </w:rPr>
              <w:t>支持向量机回归</w:t>
            </w:r>
            <w:r>
              <w:rPr>
                <w:rFonts w:hint="eastAsia" w:ascii="宋体" w:hAnsi="宋体"/>
                <w:color w:val="000000"/>
                <w:kern w:val="0"/>
                <w:sz w:val="18"/>
                <w:szCs w:val="18"/>
                <w:lang w:bidi="ar"/>
              </w:rPr>
              <w:t>模型</w:t>
            </w:r>
          </w:p>
        </w:tc>
        <w:tc>
          <w:tcPr>
            <w:tcW w:w="4005" w:type="pct"/>
            <w:vAlign w:val="center"/>
          </w:tcPr>
          <w:p>
            <w:pPr>
              <w:widowControl/>
              <w:spacing w:line="240" w:lineRule="auto"/>
              <w:jc w:val="center"/>
              <w:rPr>
                <w:rFonts w:ascii="宋体" w:hAnsi="宋体"/>
                <w:color w:val="000000"/>
                <w:kern w:val="0"/>
                <w:sz w:val="18"/>
                <w:szCs w:val="18"/>
                <w:lang w:bidi="ar"/>
              </w:rPr>
            </w:pPr>
            <w:r>
              <w:rPr>
                <w:rFonts w:ascii="宋体" w:hAnsi="宋体"/>
                <w:color w:val="000000"/>
                <w:kern w:val="0"/>
                <w:sz w:val="18"/>
                <w:szCs w:val="18"/>
                <w:lang w:bidi="ar"/>
              </w:rPr>
              <w:t>核函数</w:t>
            </w:r>
            <w:r>
              <w:rPr>
                <w:rFonts w:hint="eastAsia" w:ascii="宋体" w:hAnsi="宋体"/>
                <w:color w:val="000000"/>
                <w:kern w:val="0"/>
                <w:sz w:val="18"/>
                <w:szCs w:val="18"/>
                <w:lang w:bidi="ar"/>
              </w:rPr>
              <w:t>、</w:t>
            </w:r>
            <w:r>
              <w:rPr>
                <w:rFonts w:ascii="宋体" w:hAnsi="宋体"/>
                <w:color w:val="000000"/>
                <w:kern w:val="0"/>
                <w:sz w:val="18"/>
                <w:szCs w:val="18"/>
                <w:lang w:bidi="ar"/>
              </w:rPr>
              <w:t>正则化参数</w:t>
            </w:r>
            <w:r>
              <w:rPr>
                <w:rFonts w:hint="eastAsia" w:ascii="宋体" w:hAnsi="宋体"/>
                <w:color w:val="000000"/>
                <w:kern w:val="0"/>
                <w:sz w:val="18"/>
                <w:szCs w:val="18"/>
                <w:lang w:bidi="ar"/>
              </w:rPr>
              <w:t>、</w:t>
            </w:r>
            <w:r>
              <w:rPr>
                <w:rFonts w:ascii="宋体" w:hAnsi="宋体"/>
                <w:color w:val="000000"/>
                <w:kern w:val="0"/>
                <w:sz w:val="18"/>
                <w:szCs w:val="18"/>
                <w:lang w:bidi="ar"/>
              </w:rPr>
              <w:t>核系数</w:t>
            </w:r>
            <w:r>
              <w:rPr>
                <w:rFonts w:hint="eastAsia" w:ascii="宋体" w:hAnsi="宋体"/>
                <w:color w:val="000000"/>
                <w:kern w:val="0"/>
                <w:sz w:val="18"/>
                <w:szCs w:val="18"/>
                <w:lang w:bidi="ar"/>
              </w:rPr>
              <w:t>、</w:t>
            </w:r>
            <w:r>
              <w:rPr>
                <w:rFonts w:ascii="宋体" w:hAnsi="宋体"/>
                <w:color w:val="000000"/>
                <w:kern w:val="0"/>
                <w:sz w:val="18"/>
                <w:szCs w:val="18"/>
                <w:lang w:bidi="ar"/>
              </w:rPr>
              <w:t>epsilon</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95" w:type="pct"/>
            <w:vAlign w:val="center"/>
          </w:tcPr>
          <w:p>
            <w:pPr>
              <w:widowControl/>
              <w:spacing w:line="240" w:lineRule="auto"/>
              <w:jc w:val="center"/>
              <w:rPr>
                <w:rFonts w:ascii="宋体" w:hAnsi="宋体"/>
                <w:color w:val="000000"/>
                <w:kern w:val="0"/>
                <w:sz w:val="18"/>
                <w:szCs w:val="18"/>
                <w:lang w:bidi="ar"/>
              </w:rPr>
            </w:pPr>
            <w:r>
              <w:rPr>
                <w:rFonts w:ascii="宋体" w:hAnsi="宋体"/>
                <w:color w:val="000000"/>
                <w:kern w:val="0"/>
                <w:sz w:val="18"/>
                <w:szCs w:val="18"/>
                <w:lang w:bidi="ar"/>
              </w:rPr>
              <w:t>随机森林</w:t>
            </w:r>
            <w:r>
              <w:rPr>
                <w:rFonts w:hint="eastAsia" w:ascii="宋体" w:hAnsi="宋体"/>
                <w:color w:val="000000"/>
                <w:kern w:val="0"/>
                <w:sz w:val="18"/>
                <w:szCs w:val="18"/>
                <w:lang w:bidi="ar"/>
              </w:rPr>
              <w:t>模型</w:t>
            </w:r>
          </w:p>
        </w:tc>
        <w:tc>
          <w:tcPr>
            <w:tcW w:w="4005" w:type="pct"/>
            <w:vAlign w:val="center"/>
          </w:tcPr>
          <w:p>
            <w:pPr>
              <w:widowControl/>
              <w:spacing w:line="240" w:lineRule="auto"/>
              <w:jc w:val="center"/>
              <w:rPr>
                <w:rFonts w:ascii="宋体" w:hAnsi="宋体"/>
                <w:color w:val="000000"/>
                <w:kern w:val="0"/>
                <w:sz w:val="18"/>
                <w:szCs w:val="18"/>
                <w:lang w:bidi="ar"/>
              </w:rPr>
            </w:pPr>
            <w:r>
              <w:rPr>
                <w:rFonts w:ascii="宋体" w:hAnsi="宋体"/>
                <w:color w:val="000000"/>
                <w:kern w:val="0"/>
                <w:sz w:val="18"/>
                <w:szCs w:val="18"/>
                <w:lang w:bidi="ar"/>
              </w:rPr>
              <w:t>树数量</w:t>
            </w:r>
            <w:r>
              <w:rPr>
                <w:rFonts w:hint="eastAsia" w:ascii="宋体" w:hAnsi="宋体"/>
                <w:color w:val="000000"/>
                <w:kern w:val="0"/>
                <w:sz w:val="18"/>
                <w:szCs w:val="18"/>
                <w:lang w:bidi="ar"/>
              </w:rPr>
              <w:t>、</w:t>
            </w:r>
            <w:r>
              <w:rPr>
                <w:rFonts w:ascii="宋体" w:hAnsi="宋体"/>
                <w:color w:val="000000"/>
                <w:kern w:val="0"/>
                <w:sz w:val="18"/>
                <w:szCs w:val="18"/>
                <w:lang w:bidi="ar"/>
              </w:rPr>
              <w:t>最大深度</w:t>
            </w:r>
            <w:r>
              <w:rPr>
                <w:rFonts w:hint="eastAsia" w:ascii="宋体" w:hAnsi="宋体"/>
                <w:color w:val="000000"/>
                <w:kern w:val="0"/>
                <w:sz w:val="18"/>
                <w:szCs w:val="18"/>
                <w:lang w:bidi="ar"/>
              </w:rPr>
              <w:t>、</w:t>
            </w:r>
            <w:r>
              <w:rPr>
                <w:rFonts w:ascii="宋体" w:hAnsi="宋体"/>
                <w:color w:val="000000"/>
                <w:kern w:val="0"/>
                <w:sz w:val="18"/>
                <w:szCs w:val="18"/>
                <w:lang w:bidi="ar"/>
              </w:rPr>
              <w:t>最小分裂样本数</w:t>
            </w:r>
            <w:r>
              <w:rPr>
                <w:rFonts w:hint="eastAsia" w:ascii="宋体" w:hAnsi="宋体"/>
                <w:color w:val="000000"/>
                <w:kern w:val="0"/>
                <w:sz w:val="18"/>
                <w:szCs w:val="18"/>
                <w:lang w:bidi="ar"/>
              </w:rPr>
              <w:t>、</w:t>
            </w:r>
            <w:r>
              <w:rPr>
                <w:rFonts w:ascii="宋体" w:hAnsi="宋体"/>
                <w:color w:val="000000"/>
                <w:kern w:val="0"/>
                <w:sz w:val="18"/>
                <w:szCs w:val="18"/>
                <w:lang w:bidi="ar"/>
              </w:rPr>
              <w:t>最小叶节点样本数</w:t>
            </w:r>
            <w:r>
              <w:rPr>
                <w:rFonts w:hint="eastAsia" w:ascii="宋体" w:hAnsi="宋体"/>
                <w:color w:val="000000"/>
                <w:kern w:val="0"/>
                <w:sz w:val="18"/>
                <w:szCs w:val="18"/>
                <w:lang w:bidi="ar"/>
              </w:rPr>
              <w:t>、</w:t>
            </w:r>
            <w:r>
              <w:rPr>
                <w:rFonts w:ascii="宋体" w:hAnsi="宋体"/>
                <w:color w:val="000000"/>
                <w:kern w:val="0"/>
                <w:sz w:val="18"/>
                <w:szCs w:val="18"/>
                <w:lang w:bidi="ar"/>
              </w:rPr>
              <w:t>最大特征数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995" w:type="pct"/>
            <w:vAlign w:val="center"/>
          </w:tcPr>
          <w:p>
            <w:pPr>
              <w:widowControl/>
              <w:spacing w:line="240" w:lineRule="auto"/>
              <w:jc w:val="center"/>
              <w:rPr>
                <w:rFonts w:ascii="宋体" w:hAnsi="宋体"/>
                <w:color w:val="000000"/>
                <w:kern w:val="0"/>
                <w:sz w:val="18"/>
                <w:szCs w:val="18"/>
                <w:lang w:bidi="ar"/>
              </w:rPr>
            </w:pPr>
            <w:r>
              <w:rPr>
                <w:rFonts w:ascii="宋体" w:hAnsi="宋体"/>
                <w:color w:val="000000"/>
                <w:kern w:val="0"/>
                <w:sz w:val="18"/>
                <w:szCs w:val="18"/>
                <w:lang w:bidi="ar"/>
              </w:rPr>
              <w:t>梯度提升</w:t>
            </w:r>
            <w:r>
              <w:rPr>
                <w:rFonts w:hint="eastAsia" w:ascii="宋体" w:hAnsi="宋体"/>
                <w:color w:val="000000"/>
                <w:kern w:val="0"/>
                <w:sz w:val="18"/>
                <w:szCs w:val="18"/>
                <w:lang w:bidi="ar"/>
              </w:rPr>
              <w:t>树模型</w:t>
            </w:r>
          </w:p>
        </w:tc>
        <w:tc>
          <w:tcPr>
            <w:tcW w:w="4005" w:type="pct"/>
            <w:vAlign w:val="center"/>
          </w:tcPr>
          <w:p>
            <w:pPr>
              <w:widowControl/>
              <w:spacing w:line="240" w:lineRule="auto"/>
              <w:jc w:val="center"/>
              <w:rPr>
                <w:rFonts w:ascii="宋体" w:hAnsi="宋体"/>
                <w:color w:val="000000"/>
                <w:kern w:val="0"/>
                <w:sz w:val="18"/>
                <w:szCs w:val="18"/>
                <w:lang w:bidi="ar"/>
              </w:rPr>
            </w:pPr>
            <w:r>
              <w:rPr>
                <w:rFonts w:ascii="宋体" w:hAnsi="宋体"/>
                <w:color w:val="000000"/>
                <w:kern w:val="0"/>
                <w:sz w:val="18"/>
                <w:szCs w:val="18"/>
                <w:lang w:bidi="ar"/>
              </w:rPr>
              <w:t>hidden_layer_sizes（隐藏层结构）</w:t>
            </w:r>
            <w:r>
              <w:rPr>
                <w:rFonts w:hint="eastAsia" w:ascii="宋体" w:hAnsi="宋体"/>
                <w:color w:val="000000"/>
                <w:kern w:val="0"/>
                <w:sz w:val="18"/>
                <w:szCs w:val="18"/>
                <w:lang w:bidi="ar"/>
              </w:rPr>
              <w:t>：</w:t>
            </w:r>
            <w:r>
              <w:rPr>
                <w:rFonts w:ascii="宋体" w:hAnsi="宋体"/>
                <w:color w:val="000000"/>
                <w:kern w:val="0"/>
                <w:sz w:val="18"/>
                <w:szCs w:val="18"/>
                <w:lang w:bidi="ar"/>
              </w:rPr>
              <w:t>元组（如(100,50)</w:t>
            </w:r>
            <w:r>
              <w:rPr>
                <w:rFonts w:hint="eastAsia" w:ascii="宋体" w:hAnsi="宋体"/>
                <w:color w:val="000000"/>
                <w:kern w:val="0"/>
                <w:sz w:val="18"/>
                <w:szCs w:val="18"/>
                <w:lang w:bidi="ar"/>
              </w:rPr>
              <w:t>，</w:t>
            </w:r>
            <w:r>
              <w:rPr>
                <w:rFonts w:ascii="宋体" w:hAnsi="宋体"/>
                <w:color w:val="000000"/>
                <w:kern w:val="0"/>
                <w:sz w:val="18"/>
                <w:szCs w:val="18"/>
                <w:lang w:bidi="ar"/>
              </w:rPr>
              <w:t>(64,32)）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995" w:type="pct"/>
            <w:vAlign w:val="center"/>
          </w:tcPr>
          <w:p>
            <w:pPr>
              <w:widowControl/>
              <w:spacing w:line="240" w:lineRule="auto"/>
              <w:jc w:val="center"/>
              <w:rPr>
                <w:rFonts w:ascii="宋体" w:hAnsi="宋体"/>
                <w:color w:val="000000"/>
                <w:kern w:val="0"/>
                <w:sz w:val="18"/>
                <w:szCs w:val="18"/>
                <w:lang w:bidi="ar"/>
              </w:rPr>
            </w:pPr>
            <w:r>
              <w:rPr>
                <w:rFonts w:ascii="宋体" w:hAnsi="宋体"/>
                <w:color w:val="000000"/>
                <w:kern w:val="0"/>
                <w:sz w:val="18"/>
                <w:szCs w:val="18"/>
                <w:lang w:bidi="ar"/>
              </w:rPr>
              <w:t>神经网络</w:t>
            </w:r>
          </w:p>
        </w:tc>
        <w:tc>
          <w:tcPr>
            <w:tcW w:w="4005" w:type="pct"/>
            <w:vAlign w:val="center"/>
          </w:tcPr>
          <w:p>
            <w:pPr>
              <w:widowControl/>
              <w:spacing w:line="240" w:lineRule="auto"/>
              <w:jc w:val="center"/>
              <w:rPr>
                <w:rFonts w:ascii="宋体" w:hAnsi="宋体"/>
                <w:color w:val="000000"/>
                <w:kern w:val="0"/>
                <w:sz w:val="18"/>
                <w:szCs w:val="18"/>
                <w:lang w:bidi="ar"/>
              </w:rPr>
            </w:pPr>
            <w:r>
              <w:rPr>
                <w:rFonts w:ascii="宋体" w:hAnsi="宋体"/>
                <w:color w:val="000000"/>
                <w:kern w:val="0"/>
                <w:sz w:val="18"/>
                <w:szCs w:val="18"/>
                <w:lang w:bidi="ar"/>
              </w:rPr>
              <w:t>网络结构、激活函数、学习率、批大小、优化器、正则化和早停参数</w:t>
            </w:r>
          </w:p>
        </w:tc>
      </w:tr>
    </w:tbl>
    <w:p>
      <w:pPr>
        <w:pStyle w:val="109"/>
        <w:spacing w:before="156" w:after="156"/>
      </w:pPr>
      <w:bookmarkStart w:id="90" w:name="_Toc228978654"/>
      <w:bookmarkStart w:id="91" w:name="_Toc239680570"/>
      <w:r>
        <w:rPr>
          <w:rFonts w:hint="eastAsia"/>
        </w:rPr>
        <w:t>模型评估与优选</w:t>
      </w:r>
      <w:bookmarkEnd w:id="90"/>
      <w:bookmarkEnd w:id="91"/>
    </w:p>
    <w:p>
      <w:pPr>
        <w:pStyle w:val="69"/>
        <w:spacing w:before="156" w:after="156"/>
      </w:pPr>
      <w:r>
        <w:rPr>
          <w:rFonts w:hint="eastAsia"/>
        </w:rPr>
        <w:t>评估方法</w:t>
      </w:r>
    </w:p>
    <w:p>
      <w:pPr>
        <w:pStyle w:val="60"/>
        <w:ind w:firstLine="420"/>
      </w:pPr>
      <w:r>
        <w:t>模型开发阶段应采用分组交叉验证评估</w:t>
      </w:r>
      <w:r>
        <w:rPr>
          <w:rFonts w:hint="eastAsia"/>
        </w:rPr>
        <w:t>模型性能。采用k（k≥5）折交叉验证，将数据集划分为k份，依次使用其中一份作为验证数据集，其余作为训练数据集，重复k次取平均。</w:t>
      </w:r>
      <w:r>
        <w:t>测试集不得参与交叉验证。</w:t>
      </w:r>
    </w:p>
    <w:p>
      <w:pPr>
        <w:pStyle w:val="69"/>
        <w:spacing w:before="156" w:after="156"/>
      </w:pPr>
      <w:r>
        <w:rPr>
          <w:rFonts w:hint="eastAsia"/>
        </w:rPr>
        <w:t>评估指标</w:t>
      </w:r>
    </w:p>
    <w:p>
      <w:pPr>
        <w:pStyle w:val="60"/>
        <w:ind w:firstLine="420"/>
      </w:pPr>
      <w:r>
        <w:t>回归模型至少应</w:t>
      </w:r>
      <w:r>
        <w:rPr>
          <w:rFonts w:hint="eastAsia"/>
        </w:rPr>
        <w:t>包含决定系数（</w:t>
      </w:r>
      <w:r>
        <w:t>R²</w:t>
      </w:r>
      <w:r>
        <w:rPr>
          <w:rFonts w:hint="eastAsia"/>
        </w:rPr>
        <w:t>）</w:t>
      </w:r>
      <w:r>
        <w:t>、</w:t>
      </w:r>
      <w:r>
        <w:rPr>
          <w:rFonts w:hint="eastAsia"/>
        </w:rPr>
        <w:t>均方根误差（</w:t>
      </w:r>
      <w:r>
        <w:t>RMSE</w:t>
      </w:r>
      <w:r>
        <w:rPr>
          <w:rFonts w:hint="eastAsia"/>
        </w:rPr>
        <w:t>）</w:t>
      </w:r>
      <w:r>
        <w:t>、</w:t>
      </w:r>
      <w:r>
        <w:rPr>
          <w:rFonts w:hint="eastAsia"/>
        </w:rPr>
        <w:t>平均绝对误差（</w:t>
      </w:r>
      <w:r>
        <w:t>MAE</w:t>
      </w:r>
      <w:r>
        <w:rPr>
          <w:rFonts w:hint="eastAsia"/>
        </w:rPr>
        <w:t>）和</w:t>
      </w:r>
      <w:r>
        <w:t>均方误差</w:t>
      </w:r>
      <w:r>
        <w:rPr>
          <w:rFonts w:hint="eastAsia"/>
        </w:rPr>
        <w:t>（MSE）</w:t>
      </w:r>
      <w:r>
        <w:t>，并给出样本数、参数范围及置信区间。</w:t>
      </w:r>
      <w:r>
        <w:rPr>
          <w:rFonts w:hint="eastAsia"/>
        </w:rPr>
        <w:t>计算公式见附录C。</w:t>
      </w:r>
    </w:p>
    <w:p>
      <w:pPr>
        <w:pStyle w:val="69"/>
        <w:spacing w:before="156" w:after="156"/>
      </w:pPr>
      <w:r>
        <w:rPr>
          <w:rFonts w:hint="eastAsia"/>
        </w:rPr>
        <w:t>过拟合与欠拟合检验</w:t>
      </w:r>
    </w:p>
    <w:p>
      <w:pPr>
        <w:pStyle w:val="60"/>
        <w:ind w:firstLine="420"/>
      </w:pPr>
      <w:r>
        <w:rPr>
          <w:rFonts w:hint="eastAsia"/>
        </w:rPr>
        <w:t>应对模型是否过拟合和欠拟合现象进行检查。</w:t>
      </w:r>
    </w:p>
    <w:p>
      <w:pPr>
        <w:pStyle w:val="136"/>
      </w:pPr>
      <w:r>
        <w:rPr>
          <w:rFonts w:hint="eastAsia"/>
        </w:rPr>
        <w:t>过拟合：训练集性能远好于</w:t>
      </w:r>
      <w:r>
        <w:t>交叉验证</w:t>
      </w:r>
      <w:r>
        <w:rPr>
          <w:rFonts w:hint="eastAsia"/>
        </w:rPr>
        <w:t>或验证集。</w:t>
      </w:r>
      <w:r>
        <w:t>可将训练集与验证集R²差值大于0.1作为预警信号，同时结合RMSE、MAE和残差分布判定</w:t>
      </w:r>
      <w:r>
        <w:rPr>
          <w:rFonts w:hint="eastAsia"/>
        </w:rPr>
        <w:t>。若出现过拟合，需重新训练模型，可采用正则化、增大训练集、简化模型等措施；</w:t>
      </w:r>
    </w:p>
    <w:p>
      <w:pPr>
        <w:pStyle w:val="136"/>
      </w:pPr>
      <w:r>
        <w:rPr>
          <w:rFonts w:hint="eastAsia"/>
        </w:rPr>
        <w:t>欠拟合：</w:t>
      </w:r>
      <w:r>
        <w:t>训练集和验证集性能均不满足应用需求</w:t>
      </w:r>
      <w:r>
        <w:rPr>
          <w:rFonts w:hint="eastAsia"/>
        </w:rPr>
        <w:t>。可将</w:t>
      </w:r>
      <w:r>
        <w:t>训练集与验证集R²</w:t>
      </w:r>
      <w:r>
        <w:rPr>
          <w:rFonts w:hint="eastAsia"/>
        </w:rPr>
        <w:t>均</w:t>
      </w:r>
      <w:r>
        <w:t>小于0.6（或低于应用场景规定的最低精度要求）</w:t>
      </w:r>
      <w:r>
        <w:rPr>
          <w:rFonts w:hint="eastAsia"/>
        </w:rPr>
        <w:t>作为预警</w:t>
      </w:r>
      <w:r>
        <w:t>。若出现欠拟合，需重新训练模型，</w:t>
      </w:r>
      <w:r>
        <w:rPr>
          <w:rFonts w:hint="eastAsia"/>
        </w:rPr>
        <w:t>可采用</w:t>
      </w:r>
      <w:r>
        <w:t>核查目标参数的光学可观测性、数据质量和特征有效性，</w:t>
      </w:r>
      <w:r>
        <w:rPr>
          <w:rFonts w:hint="eastAsia"/>
        </w:rPr>
        <w:t>以及</w:t>
      </w:r>
      <w:r>
        <w:t>增加模型复杂度</w:t>
      </w:r>
      <w:r>
        <w:rPr>
          <w:rFonts w:hint="eastAsia"/>
        </w:rPr>
        <w:t>等措施。</w:t>
      </w:r>
    </w:p>
    <w:p>
      <w:pPr>
        <w:pStyle w:val="69"/>
        <w:spacing w:before="156" w:after="156"/>
      </w:pPr>
      <w:r>
        <w:rPr>
          <w:rFonts w:hint="eastAsia"/>
        </w:rPr>
        <w:t>模型优选</w:t>
      </w:r>
    </w:p>
    <w:p>
      <w:pPr>
        <w:pStyle w:val="60"/>
        <w:ind w:firstLine="420"/>
      </w:pPr>
      <w:r>
        <w:t>候选模型应依据交叉验证和验证集结果</w:t>
      </w:r>
      <w:r>
        <w:rPr>
          <w:rFonts w:hint="eastAsia"/>
        </w:rPr>
        <w:t>选择</w:t>
      </w:r>
      <w:r>
        <w:t>，</w:t>
      </w:r>
      <w:r>
        <w:rPr>
          <w:rFonts w:hint="eastAsia"/>
        </w:rPr>
        <w:t>最后基于测试数据集通过计算反演水环境参数结果与实测水环境参数值的评估指标（见8.3.2），根据误差最小原则遴选出性能最好的水环境参数反演模型。</w:t>
      </w:r>
    </w:p>
    <w:p>
      <w:pPr>
        <w:pStyle w:val="109"/>
        <w:spacing w:before="156" w:after="156"/>
      </w:pPr>
      <w:bookmarkStart w:id="92" w:name="_Toc239680571"/>
      <w:bookmarkStart w:id="93" w:name="_Toc228978655"/>
      <w:r>
        <w:rPr>
          <w:rFonts w:hint="eastAsia"/>
        </w:rPr>
        <w:t>模型应用</w:t>
      </w:r>
      <w:bookmarkEnd w:id="92"/>
      <w:bookmarkEnd w:id="93"/>
    </w:p>
    <w:p>
      <w:pPr>
        <w:pStyle w:val="69"/>
        <w:spacing w:before="156" w:after="156"/>
      </w:pPr>
      <w:r>
        <w:rPr>
          <w:rFonts w:hint="eastAsia"/>
        </w:rPr>
        <w:t>模型部署</w:t>
      </w:r>
    </w:p>
    <w:p>
      <w:pPr>
        <w:pStyle w:val="60"/>
        <w:ind w:firstLine="420"/>
      </w:pPr>
      <w:r>
        <w:t>模型在独立测试集达到预先规定的验收要求，并完成版本、输入特征、预处理流程和适用域登记后，方可部署至高光谱近感</w:t>
      </w:r>
      <w:r>
        <w:rPr>
          <w:rFonts w:hint="eastAsia"/>
        </w:rPr>
        <w:t>水环境参数</w:t>
      </w:r>
      <w:r>
        <w:t>反演系统</w:t>
      </w:r>
      <w:r>
        <w:rPr>
          <w:rFonts w:hint="eastAsia"/>
        </w:rPr>
        <w:t>中。</w:t>
      </w:r>
    </w:p>
    <w:p>
      <w:pPr>
        <w:pStyle w:val="69"/>
        <w:spacing w:before="156" w:after="156"/>
      </w:pPr>
      <w:r>
        <w:rPr>
          <w:rFonts w:hint="eastAsia"/>
        </w:rPr>
        <w:t>模型调用</w:t>
      </w:r>
    </w:p>
    <w:p>
      <w:pPr>
        <w:pStyle w:val="60"/>
        <w:ind w:firstLine="420"/>
      </w:pPr>
      <w:r>
        <w:rPr>
          <w:rFonts w:hint="eastAsia"/>
        </w:rPr>
        <w:t>将部署后的模型应用于新采集的高光谱近感数据时，新数据的光谱预处理流程、传感器特性及环境条件应与建模数据保持一致。</w:t>
      </w:r>
    </w:p>
    <w:p>
      <w:pPr>
        <w:pStyle w:val="69"/>
        <w:spacing w:before="156" w:after="156"/>
      </w:pPr>
      <w:r>
        <w:rPr>
          <w:rFonts w:hint="eastAsia"/>
        </w:rPr>
        <w:t>模型输出</w:t>
      </w:r>
    </w:p>
    <w:p>
      <w:pPr>
        <w:pStyle w:val="60"/>
        <w:ind w:firstLine="420"/>
      </w:pPr>
      <w:r>
        <w:t>模型输出应包括目标参数值，并同时提供下列信息</w:t>
      </w:r>
      <w:r>
        <w:rPr>
          <w:rFonts w:hint="eastAsia"/>
        </w:rPr>
        <w:t>：</w:t>
      </w:r>
    </w:p>
    <w:p>
      <w:pPr>
        <w:pStyle w:val="136"/>
      </w:pPr>
      <w:r>
        <w:rPr>
          <w:rFonts w:hint="eastAsia"/>
        </w:rPr>
        <w:t>反演的水环境参数值；</w:t>
      </w:r>
    </w:p>
    <w:p>
      <w:pPr>
        <w:pStyle w:val="136"/>
      </w:pPr>
      <w:r>
        <w:t>所使用的模型名称及版本标识</w:t>
      </w:r>
      <w:r>
        <w:rPr>
          <w:rFonts w:hint="eastAsia"/>
        </w:rPr>
        <w:t>；</w:t>
      </w:r>
    </w:p>
    <w:p>
      <w:pPr>
        <w:pStyle w:val="136"/>
      </w:pPr>
      <w:r>
        <w:rPr>
          <w:rFonts w:hint="eastAsia"/>
        </w:rPr>
        <w:t>模型不确定性说明或适用性声明，特别是当输入数据条件超出建模数据范围时；</w:t>
      </w:r>
    </w:p>
    <w:p>
      <w:pPr>
        <w:pStyle w:val="136"/>
      </w:pPr>
      <w:r>
        <w:rPr>
          <w:rFonts w:hint="eastAsia"/>
        </w:rPr>
        <w:t>光谱数据的采集日期和时间、地理位置和数据处理版本信息。</w:t>
      </w:r>
    </w:p>
    <w:p>
      <w:pPr>
        <w:pStyle w:val="69"/>
        <w:spacing w:before="156" w:after="156"/>
      </w:pPr>
      <w:r>
        <w:rPr>
          <w:rFonts w:hint="eastAsia"/>
        </w:rPr>
        <w:t>输出数据格式</w:t>
      </w:r>
    </w:p>
    <w:p>
      <w:pPr>
        <w:pStyle w:val="60"/>
        <w:ind w:firstLine="420"/>
      </w:pPr>
      <w:r>
        <w:t>输出数据应采用机器可读格式，至少支持CSV</w:t>
      </w:r>
      <w:r>
        <w:rPr>
          <w:rFonts w:hint="eastAsia"/>
        </w:rPr>
        <w:t>、</w:t>
      </w:r>
      <w:r>
        <w:t>JSON或</w:t>
      </w:r>
      <w:r>
        <w:rPr>
          <w:rFonts w:hint="eastAsia"/>
        </w:rPr>
        <w:t>Excel</w:t>
      </w:r>
      <w:r>
        <w:t>中的一种，并明确字符编码、时间基准、参数名称、数值、单位、不确定性、质量标识和模型版本</w:t>
      </w:r>
      <w:r>
        <w:rPr>
          <w:rFonts w:hint="eastAsia"/>
        </w:rPr>
        <w:t>等。</w:t>
      </w:r>
    </w:p>
    <w:p>
      <w:pPr>
        <w:pStyle w:val="109"/>
        <w:spacing w:before="156" w:after="156"/>
      </w:pPr>
      <w:bookmarkStart w:id="94" w:name="_Toc228978656"/>
      <w:bookmarkStart w:id="95" w:name="_Toc239680572"/>
      <w:r>
        <w:rPr>
          <w:rFonts w:hint="eastAsia"/>
        </w:rPr>
        <w:t>模型更新</w:t>
      </w:r>
      <w:bookmarkEnd w:id="94"/>
      <w:r>
        <w:rPr>
          <w:rFonts w:hint="eastAsia"/>
        </w:rPr>
        <w:t>与维护</w:t>
      </w:r>
      <w:bookmarkEnd w:id="95"/>
    </w:p>
    <w:p>
      <w:pPr>
        <w:pStyle w:val="69"/>
        <w:spacing w:before="156" w:after="156"/>
      </w:pPr>
      <w:r>
        <w:rPr>
          <w:rFonts w:hint="eastAsia"/>
        </w:rPr>
        <w:t>模型更新</w:t>
      </w:r>
    </w:p>
    <w:p>
      <w:pPr>
        <w:pStyle w:val="168"/>
      </w:pPr>
      <w:r>
        <w:rPr>
          <w:rFonts w:hint="eastAsia"/>
        </w:rPr>
        <w:t>新的野外水环境参数数据获得之后，应及时评估模型反演效果，为未达到规定要求，应优化模型：</w:t>
      </w:r>
    </w:p>
    <w:p>
      <w:pPr>
        <w:pStyle w:val="136"/>
      </w:pPr>
      <w:r>
        <w:rPr>
          <w:rFonts w:hint="eastAsia"/>
        </w:rPr>
        <w:t>R² ≥ 0.9：高精度模型，无需更新模型；</w:t>
      </w:r>
    </w:p>
    <w:p>
      <w:pPr>
        <w:pStyle w:val="136"/>
      </w:pPr>
      <w:r>
        <w:rPr>
          <w:rFonts w:hint="eastAsia"/>
        </w:rPr>
        <w:t>0.6 ≤ R² ＜ 0.9：可接受模型，</w:t>
      </w:r>
      <w:r>
        <w:t>针对</w:t>
      </w:r>
      <w:r>
        <w:rPr>
          <w:rFonts w:hint="eastAsia"/>
        </w:rPr>
        <w:t>用户应用</w:t>
      </w:r>
      <w:r>
        <w:t>精度要求，决定是否更新</w:t>
      </w:r>
      <w:r>
        <w:rPr>
          <w:rFonts w:hint="eastAsia"/>
        </w:rPr>
        <w:t>；如趋势监测可不更新模型，若精准数值监测，则需优化模型；</w:t>
      </w:r>
    </w:p>
    <w:p>
      <w:pPr>
        <w:pStyle w:val="136"/>
      </w:pPr>
      <w:r>
        <w:rPr>
          <w:rFonts w:hint="eastAsia"/>
        </w:rPr>
        <w:t>R² ＜ 0.6：不可接受模型，需更新模型。</w:t>
      </w:r>
    </w:p>
    <w:p>
      <w:pPr>
        <w:pStyle w:val="183"/>
      </w:pPr>
      <w:r>
        <w:t>上述R²阈值适用于模型测试数据集上的评估结果，不同水质参数可依据其光学可反演性适当调整，但调整应有数据支撑并在模型文档中说明</w:t>
      </w:r>
      <w:r>
        <w:rPr>
          <w:rFonts w:hint="eastAsia"/>
        </w:rPr>
        <w:t>。</w:t>
      </w:r>
    </w:p>
    <w:p>
      <w:pPr>
        <w:pStyle w:val="136"/>
        <w:numPr>
          <w:ilvl w:val="0"/>
          <w:numId w:val="0"/>
        </w:numPr>
        <w:ind w:left="851"/>
      </w:pPr>
    </w:p>
    <w:p>
      <w:pPr>
        <w:pStyle w:val="168"/>
      </w:pPr>
      <w:r>
        <w:t>新增代表性样本达到原训练样本量的20%时，宜评估重新训练的必要性；</w:t>
      </w:r>
      <w:r>
        <w:rPr>
          <w:rFonts w:hint="eastAsia"/>
        </w:rPr>
        <w:t>仅</w:t>
      </w:r>
      <w:r>
        <w:t>达到触发条件</w:t>
      </w:r>
      <w:r>
        <w:rPr>
          <w:rFonts w:hint="eastAsia"/>
        </w:rPr>
        <w:t>应更新</w:t>
      </w:r>
      <w:r>
        <w:t>替换现用模型</w:t>
      </w:r>
      <w:r>
        <w:rPr>
          <w:rFonts w:hint="eastAsia"/>
        </w:rPr>
        <w:t>。</w:t>
      </w:r>
    </w:p>
    <w:p>
      <w:pPr>
        <w:pStyle w:val="168"/>
      </w:pPr>
      <w:r>
        <w:t>模型更新应重新执行数据划分、特征选择、训练、独立测试和验收。新模型未通过验收前，原合格模型及其适用域不得被覆盖</w:t>
      </w:r>
    </w:p>
    <w:p>
      <w:pPr>
        <w:pStyle w:val="168"/>
      </w:pPr>
      <w:r>
        <w:rPr>
          <w:rFonts w:hint="eastAsia"/>
        </w:rPr>
        <w:t>应建立模型版本更新管理机制，记录模型版本号、输入特征、超级参数组合、训练数据集、验证数据集、测试数据集和性能指标等。</w:t>
      </w:r>
    </w:p>
    <w:p>
      <w:pPr>
        <w:pStyle w:val="69"/>
        <w:spacing w:before="156" w:after="156"/>
      </w:pPr>
      <w:r>
        <w:rPr>
          <w:rFonts w:hint="eastAsia"/>
        </w:rPr>
        <w:t>模型维护</w:t>
      </w:r>
    </w:p>
    <w:p>
      <w:pPr>
        <w:pStyle w:val="60"/>
        <w:ind w:firstLine="420"/>
      </w:pPr>
      <w:r>
        <w:t>应对部署的模型</w:t>
      </w:r>
      <w:r>
        <w:rPr>
          <w:rFonts w:hint="eastAsia"/>
        </w:rPr>
        <w:t>每月</w:t>
      </w:r>
      <w:r>
        <w:t>进行性能监测，发现性能偏离时应立即启动复核</w:t>
      </w:r>
      <w:r>
        <w:rPr>
          <w:rFonts w:hint="eastAsia"/>
        </w:rPr>
        <w:t>、暂停</w:t>
      </w:r>
      <w:r>
        <w:t>与</w:t>
      </w:r>
      <w:r>
        <w:rPr>
          <w:rFonts w:hint="eastAsia"/>
        </w:rPr>
        <w:t>更新</w:t>
      </w:r>
      <w:r>
        <w:t>程序。</w:t>
      </w:r>
    </w:p>
    <w:p>
      <w:pPr>
        <w:pStyle w:val="108"/>
        <w:spacing w:before="312" w:after="312"/>
      </w:pPr>
      <w:bookmarkStart w:id="96" w:name="_Toc228978657"/>
      <w:bookmarkStart w:id="97" w:name="_Toc239680573"/>
      <w:r>
        <w:rPr>
          <w:rFonts w:hint="eastAsia"/>
        </w:rPr>
        <w:t>质量控制与</w:t>
      </w:r>
      <w:bookmarkEnd w:id="96"/>
      <w:r>
        <w:rPr>
          <w:rFonts w:hint="eastAsia"/>
        </w:rPr>
        <w:t>评估</w:t>
      </w:r>
      <w:bookmarkEnd w:id="97"/>
    </w:p>
    <w:p>
      <w:pPr>
        <w:pStyle w:val="109"/>
        <w:spacing w:before="156" w:after="156"/>
      </w:pPr>
      <w:bookmarkStart w:id="98" w:name="_Toc239680574"/>
      <w:bookmarkStart w:id="99" w:name="_Toc228978658"/>
      <w:r>
        <w:rPr>
          <w:rFonts w:hint="eastAsia"/>
        </w:rPr>
        <w:t>质量控制</w:t>
      </w:r>
      <w:bookmarkEnd w:id="98"/>
      <w:bookmarkEnd w:id="99"/>
    </w:p>
    <w:p>
      <w:pPr>
        <w:pStyle w:val="69"/>
        <w:spacing w:before="156" w:after="156"/>
      </w:pPr>
      <w:r>
        <w:rPr>
          <w:rFonts w:hint="eastAsia"/>
        </w:rPr>
        <w:t>设备管理质量控制</w:t>
      </w:r>
    </w:p>
    <w:p>
      <w:pPr>
        <w:pStyle w:val="168"/>
      </w:pPr>
      <w:r>
        <w:rPr>
          <w:rFonts w:hint="eastAsia"/>
        </w:rPr>
        <w:t>设备</w:t>
      </w:r>
      <w:r>
        <w:t>应按制造商要求和附录A</w:t>
      </w:r>
      <w:r>
        <w:rPr>
          <w:rFonts w:hint="eastAsia"/>
        </w:rPr>
        <w:t>进行定期</w:t>
      </w:r>
      <w:r>
        <w:t>校准与维护</w:t>
      </w:r>
      <w:r>
        <w:rPr>
          <w:rFonts w:hint="eastAsia"/>
        </w:rPr>
        <w:t>，</w:t>
      </w:r>
      <w:r>
        <w:t>周期不应超过</w:t>
      </w:r>
      <w:r>
        <w:rPr>
          <w:rFonts w:hint="eastAsia"/>
        </w:rPr>
        <w:t>1</w:t>
      </w:r>
      <w:r>
        <w:t>年；维修、搬迁、更换关键部件或质量核查不合格后，应在恢复使用前重新校准</w:t>
      </w:r>
      <w:r>
        <w:rPr>
          <w:rFonts w:hint="eastAsia"/>
        </w:rPr>
        <w:t>。</w:t>
      </w:r>
    </w:p>
    <w:p>
      <w:pPr>
        <w:pStyle w:val="168"/>
      </w:pPr>
      <w:r>
        <w:rPr>
          <w:rFonts w:hint="eastAsia"/>
        </w:rPr>
        <w:t>应每日核查光谱设备在线状态、存储、供电和通讯状况；应每6个月1次定期检查包括光谱范围、分辨率等技术指标，发现异常时应立即进行维护或更换。</w:t>
      </w:r>
      <w:r>
        <w:t>如指标不满足表1要求，应立即进行维护或更换。</w:t>
      </w:r>
    </w:p>
    <w:p>
      <w:pPr>
        <w:pStyle w:val="168"/>
      </w:pPr>
      <w:r>
        <w:rPr>
          <w:rFonts w:hint="eastAsia"/>
        </w:rPr>
        <w:t>当出现设备故障、环境异常（如水面结冰）等情况时，应暂停数据采集。</w:t>
      </w:r>
      <w:r>
        <w:t>恢复采集前，必须进行设备校准和质量核查，验收合格后方可重新联网运行</w:t>
      </w:r>
      <w:r>
        <w:rPr>
          <w:rFonts w:hint="eastAsia"/>
        </w:rPr>
        <w:t>。</w:t>
      </w:r>
    </w:p>
    <w:p>
      <w:pPr>
        <w:pStyle w:val="69"/>
        <w:spacing w:before="156" w:after="156"/>
      </w:pPr>
      <w:r>
        <w:rPr>
          <w:rFonts w:hint="eastAsia"/>
        </w:rPr>
        <w:t>数据质量控制</w:t>
      </w:r>
    </w:p>
    <w:p>
      <w:pPr>
        <w:pStyle w:val="98"/>
        <w:spacing w:before="156" w:after="156"/>
        <w:ind w:left="0"/>
      </w:pPr>
      <w:r>
        <w:rPr>
          <w:rFonts w:hint="eastAsia"/>
        </w:rPr>
        <w:t>实测水环境参数</w:t>
      </w:r>
    </w:p>
    <w:p>
      <w:pPr>
        <w:pStyle w:val="60"/>
        <w:ind w:firstLine="420"/>
      </w:pPr>
      <w:r>
        <w:t>实测水环境参数数据应执行HJ 91.2</w:t>
      </w:r>
      <w:r>
        <w:rPr>
          <w:rFonts w:hint="eastAsia"/>
        </w:rPr>
        <w:t>-</w:t>
      </w:r>
      <w:r>
        <w:t>2022及相应分析方法的质量保证和质量控制要求</w:t>
      </w:r>
      <w:r>
        <w:rPr>
          <w:rFonts w:hint="eastAsia"/>
        </w:rPr>
        <w:t>。</w:t>
      </w:r>
    </w:p>
    <w:p>
      <w:pPr>
        <w:pStyle w:val="98"/>
        <w:spacing w:before="156" w:after="156"/>
        <w:ind w:left="0"/>
      </w:pPr>
      <w:r>
        <w:rPr>
          <w:rFonts w:hint="eastAsia"/>
        </w:rPr>
        <w:t>高</w:t>
      </w:r>
      <w:bookmarkStart w:id="100" w:name="_Hlk228973617"/>
      <w:r>
        <w:rPr>
          <w:rFonts w:hint="eastAsia"/>
        </w:rPr>
        <w:t>光谱反射率数据</w:t>
      </w:r>
    </w:p>
    <w:bookmarkEnd w:id="100"/>
    <w:p>
      <w:pPr>
        <w:pStyle w:val="60"/>
        <w:ind w:firstLine="420"/>
      </w:pPr>
      <w:r>
        <w:t>应按下面要求控制</w:t>
      </w:r>
      <w:r>
        <w:rPr>
          <w:rFonts w:hint="eastAsia"/>
        </w:rPr>
        <w:t>高光谱反射率</w:t>
      </w:r>
      <w:r>
        <w:t>数据质量</w:t>
      </w:r>
      <w:r>
        <w:rPr>
          <w:rFonts w:hint="eastAsia"/>
        </w:rPr>
        <w:t>：</w:t>
      </w:r>
    </w:p>
    <w:p>
      <w:pPr>
        <w:pStyle w:val="136"/>
      </w:pPr>
      <w:r>
        <w:t>每个观测批次前后宜测量具有有效校准证书漫反射参考板。当实测反射率与参考值的相对偏差绝对值大于5%时，应核查设备并重新辐射定标；受影响时段数据应重新处理或标记为无效</w:t>
      </w:r>
      <w:r>
        <w:rPr>
          <w:rFonts w:hint="eastAsia"/>
        </w:rPr>
        <w:t>；</w:t>
      </w:r>
    </w:p>
    <w:p>
      <w:pPr>
        <w:pStyle w:val="136"/>
      </w:pPr>
      <w:r>
        <w:t>应使用经审核的同类水体参考光谱计算SAM。SAM大于经验证阈值时，应结合饱和、耀斑、阴影、漂浮物和设备状态判定；不得仅依据单一统计阈值删除原始记录</w:t>
      </w:r>
      <w:r>
        <w:rPr>
          <w:rFonts w:hint="eastAsia"/>
        </w:rPr>
        <w:t>；</w:t>
      </w:r>
    </w:p>
    <w:p>
      <w:pPr>
        <w:pStyle w:val="136"/>
      </w:pPr>
      <w:r>
        <w:t>标准漫反射参考板连续10次测量的变异系数大于5%时，应检查照明稳定性、积分时间、污染和设备状态；原因消除并重新测量合格前，该组数据不得作为有效数据。</w:t>
      </w:r>
    </w:p>
    <w:p>
      <w:pPr>
        <w:pStyle w:val="98"/>
        <w:spacing w:before="156" w:after="156"/>
        <w:ind w:left="0"/>
      </w:pPr>
      <w:r>
        <w:rPr>
          <w:rFonts w:hint="eastAsia"/>
        </w:rPr>
        <w:t>实测水环境参数数据</w:t>
      </w:r>
    </w:p>
    <w:p>
      <w:pPr>
        <w:pStyle w:val="60"/>
        <w:ind w:firstLine="420"/>
      </w:pPr>
      <w:r>
        <w:rPr>
          <w:rFonts w:hint="eastAsia"/>
        </w:rPr>
        <w:t>应执行HJ 91.2-2022中的质量保证与质量控制规定。</w:t>
      </w:r>
    </w:p>
    <w:p>
      <w:pPr>
        <w:pStyle w:val="98"/>
        <w:spacing w:before="156" w:after="156"/>
        <w:ind w:left="0"/>
      </w:pPr>
      <w:r>
        <w:rPr>
          <w:rFonts w:hint="eastAsia"/>
        </w:rPr>
        <w:t>反演水环境参数数据</w:t>
      </w:r>
    </w:p>
    <w:p>
      <w:pPr>
        <w:pStyle w:val="60"/>
        <w:ind w:firstLine="420"/>
      </w:pPr>
      <w:r>
        <w:rPr>
          <w:rFonts w:hint="eastAsia"/>
        </w:rPr>
        <w:t>当高频连续数据超出历史同期数据均值±3倍标准差范围时，标记为“待确认”，需结合现场照片、风速、水位和排污事件联合研判。若无法合理解释的极值应判定为异常无效数据。</w:t>
      </w:r>
    </w:p>
    <w:p>
      <w:pPr>
        <w:pStyle w:val="98"/>
        <w:spacing w:before="156" w:after="156"/>
        <w:ind w:left="0"/>
      </w:pPr>
      <w:r>
        <w:rPr>
          <w:rFonts w:hint="eastAsia"/>
        </w:rPr>
        <w:t>模型质量控制</w:t>
      </w:r>
    </w:p>
    <w:p>
      <w:pPr>
        <w:pStyle w:val="60"/>
        <w:ind w:firstLine="420"/>
      </w:pPr>
      <w:r>
        <w:rPr>
          <w:rFonts w:hint="eastAsia"/>
        </w:rPr>
        <w:t>应按下面要求控制模型质量：</w:t>
      </w:r>
    </w:p>
    <w:p>
      <w:pPr>
        <w:pStyle w:val="60"/>
        <w:ind w:firstLine="420"/>
      </w:pPr>
      <w:r>
        <w:rPr>
          <w:rFonts w:hint="eastAsia"/>
        </w:rPr>
        <w:t>——</w:t>
      </w:r>
      <w:r>
        <w:t>数据划分和交叉验证应按站点、批次或时间分组，防止信息泄漏</w:t>
      </w:r>
      <w:r>
        <w:rPr>
          <w:rFonts w:hint="eastAsia"/>
        </w:rPr>
        <w:t>；</w:t>
      </w:r>
    </w:p>
    <w:p>
      <w:pPr>
        <w:pStyle w:val="60"/>
        <w:ind w:firstLine="420"/>
      </w:pPr>
      <w:r>
        <w:rPr>
          <w:rFonts w:hint="eastAsia"/>
        </w:rPr>
        <w:t>——</w:t>
      </w:r>
      <w:r>
        <w:t>模型应同时满足预先规定的独立测试集误差、偏差和稳定性要求</w:t>
      </w:r>
      <w:r>
        <w:rPr>
          <w:rFonts w:hint="eastAsia"/>
        </w:rPr>
        <w:t>；</w:t>
      </w:r>
    </w:p>
    <w:p>
      <w:pPr>
        <w:pStyle w:val="60"/>
        <w:ind w:firstLine="420"/>
      </w:pPr>
      <w:r>
        <w:rPr>
          <w:rFonts w:hint="eastAsia"/>
        </w:rPr>
        <w:t>——</w:t>
      </w:r>
      <w:r>
        <w:t>运行期应监测</w:t>
      </w:r>
      <w:r>
        <w:rPr>
          <w:rFonts w:hint="eastAsia"/>
        </w:rPr>
        <w:t>模型</w:t>
      </w:r>
      <w:r>
        <w:t>性能，并设置预警限和</w:t>
      </w:r>
      <w:r>
        <w:rPr>
          <w:rFonts w:hint="eastAsia"/>
        </w:rPr>
        <w:t>更新触发条件。</w:t>
      </w:r>
    </w:p>
    <w:p>
      <w:pPr>
        <w:pStyle w:val="109"/>
        <w:spacing w:before="156" w:after="156"/>
      </w:pPr>
      <w:bookmarkStart w:id="101" w:name="_Toc239680575"/>
      <w:bookmarkStart w:id="102" w:name="_Toc228978659"/>
      <w:r>
        <w:rPr>
          <w:rFonts w:hint="eastAsia"/>
        </w:rPr>
        <w:t>质量评估</w:t>
      </w:r>
      <w:bookmarkEnd w:id="101"/>
      <w:bookmarkEnd w:id="102"/>
    </w:p>
    <w:p>
      <w:pPr>
        <w:pStyle w:val="69"/>
        <w:spacing w:before="156" w:after="156"/>
      </w:pPr>
      <w:r>
        <w:rPr>
          <w:rFonts w:hint="eastAsia"/>
        </w:rPr>
        <w:t>数据准确性评估</w:t>
      </w:r>
    </w:p>
    <w:p>
      <w:pPr>
        <w:pStyle w:val="168"/>
      </w:pPr>
      <w:r>
        <w:t>将反演结果与同步实测数据对比</w:t>
      </w:r>
      <w:r>
        <w:rPr>
          <w:rFonts w:hint="eastAsia"/>
        </w:rPr>
        <w:t>，并进行误差分析，识别系统误差与随机误差。通过计算两者之间的</w:t>
      </w:r>
      <w:r>
        <w:t>R²、RMSE、MAE、平均偏差、样本数和实测值范围</w:t>
      </w:r>
      <w:r>
        <w:rPr>
          <w:rFonts w:hint="eastAsia"/>
        </w:rPr>
        <w:t>等指标，评估数据的准确性和一致性。</w:t>
      </w:r>
    </w:p>
    <w:p>
      <w:pPr>
        <w:pStyle w:val="69"/>
        <w:spacing w:before="156" w:after="156"/>
      </w:pPr>
      <w:r>
        <w:rPr>
          <w:rFonts w:hint="eastAsia"/>
        </w:rPr>
        <w:t>数据稳定性评估</w:t>
      </w:r>
    </w:p>
    <w:p>
      <w:pPr>
        <w:pStyle w:val="168"/>
      </w:pPr>
      <w:r>
        <w:t>应在照明和观测几何稳定条件下，对参考板或稳定水体连续采集不少于10次，评价光谱重复性。目标波段或代表性光谱指标的相对标准偏差宜小于10%；超过限值时应调查环境变化和设备状态</w:t>
      </w:r>
      <w:r>
        <w:rPr>
          <w:rFonts w:hint="eastAsia"/>
        </w:rPr>
        <w:t>。</w:t>
      </w:r>
    </w:p>
    <w:p>
      <w:pPr>
        <w:pStyle w:val="168"/>
      </w:pPr>
      <w:r>
        <w:t>使用质量控制图（如均值图、标准差图等）监控采集数据的稳定性，出现异常波动时及时采取补救措施</w:t>
      </w:r>
      <w:r>
        <w:rPr>
          <w:rFonts w:hint="eastAsia"/>
        </w:rPr>
        <w:t>。</w:t>
      </w:r>
    </w:p>
    <w:p>
      <w:pPr>
        <w:pStyle w:val="108"/>
        <w:spacing w:before="312" w:after="312"/>
      </w:pPr>
      <w:bookmarkStart w:id="103" w:name="_Toc239680576"/>
      <w:bookmarkStart w:id="104" w:name="_Toc228978661"/>
      <w:r>
        <w:rPr>
          <w:rFonts w:hint="eastAsia"/>
        </w:rPr>
        <w:t>安全要求</w:t>
      </w:r>
      <w:bookmarkEnd w:id="103"/>
      <w:bookmarkEnd w:id="104"/>
    </w:p>
    <w:p>
      <w:pPr>
        <w:pStyle w:val="109"/>
        <w:spacing w:before="156" w:after="156"/>
      </w:pPr>
      <w:bookmarkStart w:id="105" w:name="_Toc239680577"/>
      <w:bookmarkStart w:id="106" w:name="_Toc228978662"/>
      <w:r>
        <w:rPr>
          <w:rFonts w:hint="eastAsia"/>
        </w:rPr>
        <w:t>设备安全</w:t>
      </w:r>
      <w:bookmarkEnd w:id="105"/>
      <w:bookmarkEnd w:id="106"/>
    </w:p>
    <w:p>
      <w:pPr>
        <w:pStyle w:val="60"/>
        <w:ind w:firstLine="420"/>
      </w:pPr>
      <w:r>
        <w:t>设备外壳防护等级不应低于IP68。支架、接线和供电系统应具备防水、防腐蚀、防雷、接地和漏电保护；浮标及船载设备还应采取防倾覆、防碰撞和防缠绕措施</w:t>
      </w:r>
      <w:r>
        <w:rPr>
          <w:rFonts w:hint="eastAsia"/>
        </w:rPr>
        <w:t>。</w:t>
      </w:r>
    </w:p>
    <w:p>
      <w:pPr>
        <w:pStyle w:val="109"/>
        <w:spacing w:before="156" w:after="156"/>
      </w:pPr>
      <w:bookmarkStart w:id="107" w:name="_Toc239680578"/>
      <w:r>
        <w:rPr>
          <w:rFonts w:hint="eastAsia"/>
        </w:rPr>
        <w:t>数据安全</w:t>
      </w:r>
      <w:bookmarkEnd w:id="107"/>
    </w:p>
    <w:p>
      <w:pPr>
        <w:pStyle w:val="60"/>
        <w:ind w:firstLine="420"/>
      </w:pPr>
      <w:r>
        <w:t>高光谱</w:t>
      </w:r>
      <w:r>
        <w:rPr>
          <w:rFonts w:hint="eastAsia"/>
        </w:rPr>
        <w:t>近感反射率</w:t>
      </w:r>
      <w:r>
        <w:t>数据和反演结果在互联网传输时，应采用加密传输方式，采用国家密码管理局认可的商用密码算法（如SM4），密钥管理应符合HJ 212</w:t>
      </w:r>
      <w:r>
        <w:rPr>
          <w:rFonts w:hint="eastAsia"/>
        </w:rPr>
        <w:t>-2025</w:t>
      </w:r>
      <w:r>
        <w:t>的相关规定。应建立数据访问权限管理制度，对高光谱原始数据、反演模型和反演结果实行分级授权管理</w:t>
      </w:r>
    </w:p>
    <w:p>
      <w:pPr>
        <w:pStyle w:val="109"/>
        <w:spacing w:before="156" w:after="156"/>
      </w:pPr>
      <w:bookmarkStart w:id="108" w:name="_Toc228978664"/>
      <w:bookmarkStart w:id="109" w:name="_Toc239680579"/>
      <w:r>
        <w:rPr>
          <w:rFonts w:hint="eastAsia"/>
        </w:rPr>
        <w:t>野外作业安全</w:t>
      </w:r>
      <w:bookmarkEnd w:id="108"/>
      <w:bookmarkEnd w:id="109"/>
    </w:p>
    <w:p>
      <w:pPr>
        <w:pStyle w:val="60"/>
        <w:ind w:firstLine="420"/>
      </w:pPr>
      <w:r>
        <w:t>涉水、船载或高处安装作业应开展风险评估，作业人员应佩戴救生衣、安全带等适用防护装备，并落实双人作业和通信联络。雷电、强风、暴雨、结冰或能见度不足时应停止户外作业</w:t>
      </w:r>
      <w:r>
        <w:rPr>
          <w:rFonts w:hint="eastAsia"/>
        </w:rPr>
        <w:t>。</w:t>
      </w:r>
    </w:p>
    <w:p>
      <w:pPr>
        <w:pStyle w:val="108"/>
        <w:spacing w:before="312" w:after="312"/>
      </w:pPr>
      <w:bookmarkStart w:id="110" w:name="_Toc239680580"/>
      <w:r>
        <w:rPr>
          <w:rFonts w:hint="eastAsia"/>
        </w:rPr>
        <w:t>参数拓展与持续改进</w:t>
      </w:r>
      <w:bookmarkEnd w:id="110"/>
    </w:p>
    <w:p>
      <w:pPr>
        <w:pStyle w:val="109"/>
        <w:spacing w:before="156" w:after="156"/>
      </w:pPr>
      <w:bookmarkStart w:id="111" w:name="_Toc239680581"/>
      <w:r>
        <w:rPr>
          <w:rFonts w:hint="eastAsia"/>
        </w:rPr>
        <w:t>参数拓展</w:t>
      </w:r>
      <w:bookmarkEnd w:id="111"/>
    </w:p>
    <w:p>
      <w:pPr>
        <w:pStyle w:val="60"/>
        <w:ind w:firstLine="420"/>
      </w:pPr>
      <w:r>
        <w:t>新增目标参数前，应证明其具有可利用的直接光谱响应，或在限定水体和时段内与光学活性组分存在稳定关系，并明确预定用途</w:t>
      </w:r>
      <w:r>
        <w:rPr>
          <w:rFonts w:hint="eastAsia"/>
        </w:rPr>
        <w:t>。</w:t>
      </w:r>
    </w:p>
    <w:p>
      <w:pPr>
        <w:pStyle w:val="136"/>
      </w:pPr>
      <w:r>
        <w:rPr>
          <w:rFonts w:hint="eastAsia"/>
        </w:rPr>
        <w:t>新增参数应具有现行实测方法、代表性同步样本、独立测试数据和验收指标；</w:t>
      </w:r>
    </w:p>
    <w:p>
      <w:pPr>
        <w:pStyle w:val="136"/>
      </w:pPr>
      <w:r>
        <w:rPr>
          <w:rFonts w:hint="eastAsia"/>
        </w:rPr>
        <w:t>新增设备、跨站点迁移或跨水体应用应重新开展一致性比对和独立验证，不得仅复用原模型参数，应进行更新模型；</w:t>
      </w:r>
    </w:p>
    <w:p>
      <w:pPr>
        <w:pStyle w:val="109"/>
        <w:spacing w:before="156" w:after="156"/>
      </w:pPr>
      <w:bookmarkStart w:id="112" w:name="_Toc239680582"/>
      <w:r>
        <w:t>持续改进</w:t>
      </w:r>
      <w:bookmarkEnd w:id="112"/>
    </w:p>
    <w:p>
      <w:pPr>
        <w:pStyle w:val="136"/>
      </w:pPr>
      <w:r>
        <w:rPr>
          <w:rFonts w:hint="eastAsia"/>
        </w:rPr>
        <w:t>应定期评审目标参数、设备能力、算法和质量控制要求，并通过受控版本更新保持数据连续性和结果可追溯；</w:t>
      </w:r>
    </w:p>
    <w:p>
      <w:pPr>
        <w:pStyle w:val="136"/>
      </w:pPr>
      <w:r>
        <w:t>应定期进行质量控制与评估，每年应不低于2次。当评估结果超过允许误差范围时，仪器处于质量失衡状态，应及时排查和维护仪器，并重新测试。依据评估结果调整反演流程、优化操作步骤，通过建立反馈机制促进持续改进</w:t>
      </w:r>
      <w:r>
        <w:rPr>
          <w:rFonts w:hint="eastAsia"/>
        </w:rPr>
        <w:t>；</w:t>
      </w:r>
    </w:p>
    <w:p>
      <w:pPr>
        <w:pStyle w:val="136"/>
      </w:pPr>
      <w:r>
        <w:t>应定期更新软件</w:t>
      </w:r>
      <w:r>
        <w:rPr>
          <w:rFonts w:hint="eastAsia"/>
        </w:rPr>
        <w:t>和人员培训</w:t>
      </w:r>
      <w:r>
        <w:t>。当软件功能无法满足需求或出现重大技术革新时，应</w:t>
      </w:r>
      <w:r>
        <w:rPr>
          <w:rFonts w:hint="eastAsia"/>
        </w:rPr>
        <w:t>在2个月内</w:t>
      </w:r>
      <w:r>
        <w:t>进行更新</w:t>
      </w:r>
      <w:r>
        <w:rPr>
          <w:rFonts w:hint="eastAsia"/>
        </w:rPr>
        <w:t>和人员培训</w:t>
      </w:r>
      <w:r>
        <w:t>。</w:t>
      </w:r>
    </w:p>
    <w:p>
      <w:pPr>
        <w:pStyle w:val="60"/>
        <w:ind w:firstLine="420"/>
        <w:sectPr>
          <w:headerReference r:id="rId19" w:type="default"/>
          <w:footerReference r:id="rId21" w:type="default"/>
          <w:headerReference r:id="rId20" w:type="even"/>
          <w:footerReference r:id="rId22" w:type="even"/>
          <w:pgSz w:w="11906" w:h="16838"/>
          <w:pgMar w:top="1928" w:right="1134" w:bottom="1134" w:left="1134" w:header="1418" w:footer="1134" w:gutter="284"/>
          <w:pgNumType w:start="1"/>
          <w:cols w:space="425" w:num="1"/>
          <w:formProt w:val="0"/>
          <w:docGrid w:type="lines" w:linePitch="312" w:charSpace="0"/>
        </w:sectPr>
      </w:pPr>
    </w:p>
    <w:bookmarkEnd w:id="25"/>
    <w:p>
      <w:pPr>
        <w:pStyle w:val="202"/>
        <w:rPr>
          <w:vanish w:val="0"/>
        </w:rPr>
      </w:pPr>
      <w:bookmarkStart w:id="113" w:name="BookMark5"/>
    </w:p>
    <w:p>
      <w:pPr>
        <w:pStyle w:val="203"/>
        <w:rPr>
          <w:vanish w:val="0"/>
        </w:rPr>
      </w:pPr>
    </w:p>
    <w:p>
      <w:pPr>
        <w:pStyle w:val="80"/>
        <w:spacing w:after="156"/>
      </w:pPr>
      <w:r>
        <w:br w:type="textWrapping"/>
      </w:r>
      <w:bookmarkStart w:id="114" w:name="_Toc228978665"/>
      <w:bookmarkStart w:id="115" w:name="_Toc239680583"/>
      <w:r>
        <w:rPr>
          <w:rFonts w:hint="eastAsia"/>
        </w:rPr>
        <w:t>（资料性）</w:t>
      </w:r>
      <w:r>
        <w:br w:type="textWrapping"/>
      </w:r>
      <w:r>
        <w:rPr>
          <w:rFonts w:hint="eastAsia"/>
        </w:rPr>
        <w:t>光谱预处理</w:t>
      </w:r>
      <w:bookmarkEnd w:id="114"/>
      <w:bookmarkEnd w:id="115"/>
    </w:p>
    <w:p>
      <w:pPr>
        <w:pStyle w:val="215"/>
      </w:pPr>
      <w:r>
        <w:rPr>
          <w:rFonts w:hint="eastAsia"/>
        </w:rPr>
        <w:t>波长校正方法：采用已知特征波长的标准光源（如汞氩灯），将光谱仪实测的特征峰波长位置与理论值进行比对，通过调整光谱仪的波长校正系数，使全波段波长准确度优于0.5 nm，波长重复性≤0.14 nm。</w:t>
      </w:r>
    </w:p>
    <w:p>
      <w:pPr>
        <w:pStyle w:val="215"/>
      </w:pPr>
      <w:r>
        <w:rPr>
          <w:rFonts w:hint="eastAsia"/>
        </w:rPr>
        <w:t>辐射定标方法：在相同照明和几何条件下，测量标准漫反射板的反射率光谱，将实测值与参考板已知光谱进行拟合，计算辐射定标系数，用于后续测量数据的校正。当反射率相对偏差＞±5% 时，立即重新定标。</w:t>
      </w:r>
    </w:p>
    <w:p>
      <w:pPr>
        <w:pStyle w:val="215"/>
      </w:pPr>
      <w:r>
        <w:rPr>
          <w:rFonts w:hint="eastAsia"/>
        </w:rPr>
        <w:t>暗电流校正方法：采集前关闭镜头或用标准暗参考进行全波段暗电流采集；每条水体光谱等于原始水体光谱减去同期暗电流光谱，消除传感器热噪声与系统基线偏移。</w:t>
      </w:r>
    </w:p>
    <w:p>
      <w:pPr>
        <w:pStyle w:val="60"/>
        <w:ind w:firstLine="420"/>
      </w:pPr>
    </w:p>
    <w:p>
      <w:pPr>
        <w:pStyle w:val="60"/>
        <w:ind w:firstLine="420"/>
      </w:pPr>
    </w:p>
    <w:p>
      <w:pPr>
        <w:pStyle w:val="60"/>
        <w:ind w:firstLine="420"/>
        <w:sectPr>
          <w:headerReference r:id="rId23" w:type="default"/>
          <w:footerReference r:id="rId25" w:type="default"/>
          <w:headerReference r:id="rId24" w:type="even"/>
          <w:footerReference r:id="rId26" w:type="even"/>
          <w:pgSz w:w="11906" w:h="16838"/>
          <w:pgMar w:top="1928" w:right="1134" w:bottom="1134" w:left="1134" w:header="1418" w:footer="1134" w:gutter="284"/>
          <w:cols w:space="425" w:num="1"/>
          <w:formProt w:val="0"/>
          <w:docGrid w:type="lines" w:linePitch="312" w:charSpace="0"/>
        </w:sectPr>
      </w:pPr>
    </w:p>
    <w:p>
      <w:pPr>
        <w:pStyle w:val="202"/>
        <w:rPr>
          <w:vanish w:val="0"/>
        </w:rPr>
      </w:pPr>
    </w:p>
    <w:p>
      <w:pPr>
        <w:pStyle w:val="203"/>
        <w:rPr>
          <w:vanish w:val="0"/>
        </w:rPr>
      </w:pPr>
    </w:p>
    <w:p>
      <w:pPr>
        <w:pStyle w:val="80"/>
        <w:spacing w:after="156"/>
      </w:pPr>
      <w:r>
        <w:br w:type="textWrapping"/>
      </w:r>
      <w:bookmarkStart w:id="116" w:name="_Toc239680584"/>
      <w:bookmarkStart w:id="117" w:name="_Toc228978666"/>
      <w:r>
        <w:rPr>
          <w:rFonts w:hint="eastAsia"/>
        </w:rPr>
        <w:t>（资料性）</w:t>
      </w:r>
      <w:r>
        <w:br w:type="textWrapping"/>
      </w:r>
      <w:r>
        <w:rPr>
          <w:rFonts w:hint="eastAsia"/>
        </w:rPr>
        <w:t>光谱角计算</w:t>
      </w:r>
      <w:bookmarkEnd w:id="116"/>
      <w:bookmarkEnd w:id="117"/>
    </w:p>
    <w:p>
      <w:pPr>
        <w:pStyle w:val="215"/>
        <w:rPr>
          <w:rFonts w:ascii="Times New Roman"/>
        </w:rPr>
      </w:pPr>
      <w:r>
        <w:rPr>
          <w:rFonts w:hint="eastAsia" w:ascii="Times New Roman"/>
        </w:rPr>
        <w:t>引入</w:t>
      </w:r>
      <w:bookmarkStart w:id="118" w:name="_Hlk228973886"/>
      <w:r>
        <w:rPr>
          <w:rFonts w:hint="eastAsia" w:ascii="Times New Roman"/>
        </w:rPr>
        <w:t>SAM</w:t>
      </w:r>
      <w:bookmarkEnd w:id="118"/>
      <w:bookmarkStart w:id="119" w:name="OLE_LINK5"/>
      <w:r>
        <w:rPr>
          <w:rFonts w:hint="eastAsia" w:ascii="Times New Roman"/>
        </w:rPr>
        <w:t>对光谱的一致性</w:t>
      </w:r>
      <w:bookmarkEnd w:id="119"/>
      <w:r>
        <w:rPr>
          <w:rFonts w:hint="eastAsia" w:ascii="Times New Roman"/>
        </w:rPr>
        <w:t>进行评价，SAM越小，则待测光谱与参考光谱的形状相似性越高。</w:t>
      </w:r>
      <w:r>
        <w:rPr>
          <w:rFonts w:ascii="Times New Roman"/>
        </w:rPr>
        <w:t>SAM</w:t>
      </w:r>
      <w:r>
        <w:rPr>
          <w:rFonts w:hint="eastAsia" w:ascii="Times New Roman"/>
        </w:rPr>
        <w:t>(x,y)的计算见公式（B</w:t>
      </w:r>
      <w:r>
        <w:rPr>
          <w:rFonts w:ascii="Times New Roman"/>
        </w:rPr>
        <w:t>.1</w:t>
      </w:r>
      <w:r>
        <w:rPr>
          <w:rFonts w:hint="eastAsia" w:ascii="Times New Roman"/>
        </w:rPr>
        <w:t>）。</w:t>
      </w:r>
    </w:p>
    <w:p>
      <w:pPr>
        <w:pStyle w:val="117"/>
        <w:rPr>
          <w:rFonts w:ascii="Times New Roman" w:hAnsi="Times New Roman"/>
        </w:rPr>
      </w:pPr>
      <w:r>
        <w:rPr>
          <w:rFonts w:ascii="Times New Roman" w:hAnsi="Times New Roman"/>
        </w:rPr>
        <w:tab/>
      </w:r>
      <m:oMath>
        <m:r>
          <m:rPr>
            <m:sty m:val="p"/>
          </m:rPr>
          <w:rPr>
            <w:rFonts w:ascii="Cambria Math" w:hAnsi="Cambria Math"/>
            <w:color w:val="000000" w:themeColor="text1"/>
            <w:szCs w:val="18"/>
            <w14:textFill>
              <w14:solidFill>
                <w14:schemeClr w14:val="tx1"/>
              </w14:solidFill>
            </w14:textFill>
          </w:rPr>
          <m:t>SAM</m:t>
        </m:r>
        <m:r>
          <m:rPr/>
          <w:rPr>
            <w:rFonts w:ascii="Cambria Math" w:hAnsi="Cambria Math"/>
            <w:color w:val="000000" w:themeColor="text1"/>
            <w:szCs w:val="18"/>
            <w14:textFill>
              <w14:solidFill>
                <w14:schemeClr w14:val="tx1"/>
              </w14:solidFill>
            </w14:textFill>
          </w:rPr>
          <m:t xml:space="preserve"> </m:t>
        </m:r>
        <m:r>
          <m:rPr/>
          <w:rPr>
            <w:rFonts w:ascii="Cambria Math" w:hAnsi="Cambria Math"/>
            <w:color w:val="000000"/>
            <w:szCs w:val="18"/>
          </w:rPr>
          <m:t>(</m:t>
        </m:r>
        <m:r>
          <m:rPr/>
          <w:rPr>
            <w:rFonts w:ascii="Cambria Math" w:hAnsi="Cambria Math"/>
            <w:color w:val="000000" w:themeColor="text1"/>
            <w:szCs w:val="18"/>
            <w14:textFill>
              <w14:solidFill>
                <w14:schemeClr w14:val="tx1"/>
              </w14:solidFill>
            </w14:textFill>
          </w:rPr>
          <m:t>x,y)=</m:t>
        </m:r>
        <m:func>
          <m:funcPr>
            <m:ctrlPr>
              <w:rPr>
                <w:rFonts w:ascii="Cambria Math" w:hAnsi="Cambria Math"/>
                <w:color w:val="000000" w:themeColor="text1"/>
                <w:szCs w:val="18"/>
                <w14:textFill>
                  <w14:solidFill>
                    <w14:schemeClr w14:val="tx1"/>
                  </w14:solidFill>
                </w14:textFill>
              </w:rPr>
            </m:ctrlPr>
          </m:funcPr>
          <m:fName>
            <m:sSup>
              <m:sSupPr>
                <m:ctrlPr>
                  <w:rPr>
                    <w:rFonts w:ascii="Cambria Math" w:hAnsi="Cambria Math"/>
                    <w:color w:val="000000" w:themeColor="text1"/>
                    <w:szCs w:val="18"/>
                    <w14:textFill>
                      <w14:solidFill>
                        <w14:schemeClr w14:val="tx1"/>
                      </w14:solidFill>
                    </w14:textFill>
                  </w:rPr>
                </m:ctrlPr>
              </m:sSupPr>
              <m:e>
                <m:r>
                  <m:rPr>
                    <m:sty m:val="p"/>
                  </m:rPr>
                  <w:rPr>
                    <w:rFonts w:ascii="Cambria Math" w:hAnsi="Cambria Math"/>
                    <w:color w:val="000000" w:themeColor="text1"/>
                    <w:szCs w:val="18"/>
                    <w14:textFill>
                      <w14:solidFill>
                        <w14:schemeClr w14:val="tx1"/>
                      </w14:solidFill>
                    </w14:textFill>
                  </w:rPr>
                  <m:t>cos</m:t>
                </m:r>
                <m:ctrlPr>
                  <w:rPr>
                    <w:rFonts w:ascii="Cambria Math" w:hAnsi="Cambria Math"/>
                    <w:color w:val="000000" w:themeColor="text1"/>
                    <w:szCs w:val="18"/>
                    <w14:textFill>
                      <w14:solidFill>
                        <w14:schemeClr w14:val="tx1"/>
                      </w14:solidFill>
                    </w14:textFill>
                  </w:rPr>
                </m:ctrlPr>
              </m:e>
              <m:sup>
                <m:r>
                  <m:rPr>
                    <m:sty m:val="p"/>
                  </m:rPr>
                  <w:rPr>
                    <w:rFonts w:ascii="Cambria Math" w:hAnsi="Cambria Math"/>
                    <w:color w:val="000000" w:themeColor="text1"/>
                    <w:szCs w:val="18"/>
                    <w14:textFill>
                      <w14:solidFill>
                        <w14:schemeClr w14:val="tx1"/>
                      </w14:solidFill>
                    </w14:textFill>
                  </w:rPr>
                  <m:t>−1</m:t>
                </m:r>
                <m:ctrlPr>
                  <w:rPr>
                    <w:rFonts w:ascii="Cambria Math" w:hAnsi="Cambria Math"/>
                    <w:color w:val="000000" w:themeColor="text1"/>
                    <w:szCs w:val="18"/>
                    <w14:textFill>
                      <w14:solidFill>
                        <w14:schemeClr w14:val="tx1"/>
                      </w14:solidFill>
                    </w14:textFill>
                  </w:rPr>
                </m:ctrlPr>
              </m:sup>
            </m:sSup>
            <m:ctrlPr>
              <w:rPr>
                <w:rFonts w:ascii="Cambria Math" w:hAnsi="Cambria Math"/>
                <w:color w:val="000000" w:themeColor="text1"/>
                <w:szCs w:val="18"/>
                <w14:textFill>
                  <w14:solidFill>
                    <w14:schemeClr w14:val="tx1"/>
                  </w14:solidFill>
                </w14:textFill>
              </w:rPr>
            </m:ctrlPr>
          </m:fName>
          <m:e>
            <m:f>
              <m:fPr>
                <m:ctrlPr>
                  <w:rPr>
                    <w:rFonts w:ascii="Cambria Math" w:hAnsi="Cambria Math"/>
                    <w:i/>
                    <w:color w:val="000000" w:themeColor="text1"/>
                    <w:szCs w:val="18"/>
                    <w14:textFill>
                      <w14:solidFill>
                        <w14:schemeClr w14:val="tx1"/>
                      </w14:solidFill>
                    </w14:textFill>
                  </w:rPr>
                </m:ctrlPr>
              </m:fPr>
              <m:num>
                <m:nary>
                  <m:naryPr>
                    <m:chr m:val="∑"/>
                    <m:limLoc m:val="subSup"/>
                    <m:ctrlPr>
                      <w:rPr>
                        <w:rFonts w:ascii="Cambria Math" w:hAnsi="Cambria Math"/>
                        <w:i/>
                        <w:color w:val="000000" w:themeColor="text1"/>
                        <w:szCs w:val="18"/>
                        <w14:textFill>
                          <w14:solidFill>
                            <w14:schemeClr w14:val="tx1"/>
                          </w14:solidFill>
                        </w14:textFill>
                      </w:rPr>
                    </m:ctrlPr>
                  </m:naryPr>
                  <m:sub>
                    <m:r>
                      <m:rPr/>
                      <w:rPr>
                        <w:rFonts w:ascii="Cambria Math" w:hAnsi="Cambria Math"/>
                        <w:color w:val="000000" w:themeColor="text1"/>
                        <w:szCs w:val="18"/>
                        <w14:textFill>
                          <w14:solidFill>
                            <w14:schemeClr w14:val="tx1"/>
                          </w14:solidFill>
                        </w14:textFill>
                      </w:rPr>
                      <m:t>i=1</m:t>
                    </m:r>
                    <m:ctrlPr>
                      <w:rPr>
                        <w:rFonts w:ascii="Cambria Math" w:hAnsi="Cambria Math"/>
                        <w:i/>
                        <w:color w:val="000000" w:themeColor="text1"/>
                        <w:szCs w:val="18"/>
                        <w14:textFill>
                          <w14:solidFill>
                            <w14:schemeClr w14:val="tx1"/>
                          </w14:solidFill>
                        </w14:textFill>
                      </w:rPr>
                    </m:ctrlPr>
                  </m:sub>
                  <m:sup>
                    <m:r>
                      <m:rPr/>
                      <w:rPr>
                        <w:rFonts w:ascii="Cambria Math" w:hAnsi="Cambria Math"/>
                        <w:color w:val="000000" w:themeColor="text1"/>
                        <w:szCs w:val="18"/>
                        <w14:textFill>
                          <w14:solidFill>
                            <w14:schemeClr w14:val="tx1"/>
                          </w14:solidFill>
                        </w14:textFill>
                      </w:rPr>
                      <m:t>n</m:t>
                    </m:r>
                    <m:ctrlPr>
                      <w:rPr>
                        <w:rFonts w:ascii="Cambria Math" w:hAnsi="Cambria Math"/>
                        <w:i/>
                        <w:color w:val="000000" w:themeColor="text1"/>
                        <w:szCs w:val="18"/>
                        <w14:textFill>
                          <w14:solidFill>
                            <w14:schemeClr w14:val="tx1"/>
                          </w14:solidFill>
                        </w14:textFill>
                      </w:rPr>
                    </m:ctrlPr>
                  </m:sup>
                  <m:e>
                    <m:sSub>
                      <m:sSubPr>
                        <m:ctrlPr>
                          <w:rPr>
                            <w:rFonts w:ascii="Cambria Math" w:hAnsi="Cambria Math"/>
                            <w:i/>
                            <w:color w:val="000000" w:themeColor="text1"/>
                            <w:szCs w:val="18"/>
                            <w14:textFill>
                              <w14:solidFill>
                                <w14:schemeClr w14:val="tx1"/>
                              </w14:solidFill>
                            </w14:textFill>
                          </w:rPr>
                        </m:ctrlPr>
                      </m:sSubPr>
                      <m:e>
                        <m:r>
                          <m:rPr/>
                          <w:rPr>
                            <w:rFonts w:ascii="Cambria Math" w:hAnsi="Cambria Math"/>
                            <w:color w:val="000000" w:themeColor="text1"/>
                            <w:szCs w:val="18"/>
                            <w14:textFill>
                              <w14:solidFill>
                                <w14:schemeClr w14:val="tx1"/>
                              </w14:solidFill>
                            </w14:textFill>
                          </w:rPr>
                          <m:t>x</m:t>
                        </m:r>
                        <m:ctrlPr>
                          <w:rPr>
                            <w:rFonts w:ascii="Cambria Math" w:hAnsi="Cambria Math"/>
                            <w:i/>
                            <w:color w:val="000000" w:themeColor="text1"/>
                            <w:szCs w:val="18"/>
                            <w14:textFill>
                              <w14:solidFill>
                                <w14:schemeClr w14:val="tx1"/>
                              </w14:solidFill>
                            </w14:textFill>
                          </w:rPr>
                        </m:ctrlPr>
                      </m:e>
                      <m:sub>
                        <m:r>
                          <m:rPr/>
                          <w:rPr>
                            <w:rFonts w:ascii="Cambria Math" w:hAnsi="Cambria Math"/>
                            <w:color w:val="000000" w:themeColor="text1"/>
                            <w:szCs w:val="18"/>
                            <w14:textFill>
                              <w14:solidFill>
                                <w14:schemeClr w14:val="tx1"/>
                              </w14:solidFill>
                            </w14:textFill>
                          </w:rPr>
                          <m:t>i</m:t>
                        </m:r>
                        <m:ctrlPr>
                          <w:rPr>
                            <w:rFonts w:ascii="Cambria Math" w:hAnsi="Cambria Math"/>
                            <w:i/>
                            <w:color w:val="000000" w:themeColor="text1"/>
                            <w:szCs w:val="18"/>
                            <w14:textFill>
                              <w14:solidFill>
                                <w14:schemeClr w14:val="tx1"/>
                              </w14:solidFill>
                            </w14:textFill>
                          </w:rPr>
                        </m:ctrlPr>
                      </m:sub>
                    </m:sSub>
                    <m:r>
                      <m:rPr/>
                      <w:rPr>
                        <w:rFonts w:ascii="Cambria Math" w:hAnsi="Cambria Math"/>
                        <w:color w:val="000000" w:themeColor="text1"/>
                        <w:szCs w:val="18"/>
                        <w14:textFill>
                          <w14:solidFill>
                            <w14:schemeClr w14:val="tx1"/>
                          </w14:solidFill>
                        </w14:textFill>
                      </w:rPr>
                      <m:t>∙</m:t>
                    </m:r>
                    <m:sSub>
                      <m:sSubPr>
                        <m:ctrlPr>
                          <w:rPr>
                            <w:rFonts w:ascii="Cambria Math" w:hAnsi="Cambria Math"/>
                            <w:i/>
                            <w:color w:val="000000" w:themeColor="text1"/>
                            <w:szCs w:val="18"/>
                            <w14:textFill>
                              <w14:solidFill>
                                <w14:schemeClr w14:val="tx1"/>
                              </w14:solidFill>
                            </w14:textFill>
                          </w:rPr>
                        </m:ctrlPr>
                      </m:sSubPr>
                      <m:e>
                        <m:r>
                          <m:rPr/>
                          <w:rPr>
                            <w:rFonts w:ascii="Cambria Math" w:hAnsi="Cambria Math"/>
                            <w:color w:val="000000" w:themeColor="text1"/>
                            <w:szCs w:val="18"/>
                            <w14:textFill>
                              <w14:solidFill>
                                <w14:schemeClr w14:val="tx1"/>
                              </w14:solidFill>
                            </w14:textFill>
                          </w:rPr>
                          <m:t>y</m:t>
                        </m:r>
                        <m:ctrlPr>
                          <w:rPr>
                            <w:rFonts w:ascii="Cambria Math" w:hAnsi="Cambria Math"/>
                            <w:i/>
                            <w:color w:val="000000" w:themeColor="text1"/>
                            <w:szCs w:val="18"/>
                            <w14:textFill>
                              <w14:solidFill>
                                <w14:schemeClr w14:val="tx1"/>
                              </w14:solidFill>
                            </w14:textFill>
                          </w:rPr>
                        </m:ctrlPr>
                      </m:e>
                      <m:sub>
                        <m:r>
                          <m:rPr/>
                          <w:rPr>
                            <w:rFonts w:ascii="Cambria Math" w:hAnsi="Cambria Math"/>
                            <w:color w:val="000000" w:themeColor="text1"/>
                            <w:szCs w:val="18"/>
                            <w14:textFill>
                              <w14:solidFill>
                                <w14:schemeClr w14:val="tx1"/>
                              </w14:solidFill>
                            </w14:textFill>
                          </w:rPr>
                          <m:t>i</m:t>
                        </m:r>
                        <m:ctrlPr>
                          <w:rPr>
                            <w:rFonts w:ascii="Cambria Math" w:hAnsi="Cambria Math"/>
                            <w:i/>
                            <w:color w:val="000000" w:themeColor="text1"/>
                            <w:szCs w:val="18"/>
                            <w14:textFill>
                              <w14:solidFill>
                                <w14:schemeClr w14:val="tx1"/>
                              </w14:solidFill>
                            </w14:textFill>
                          </w:rPr>
                        </m:ctrlPr>
                      </m:sub>
                    </m:sSub>
                    <m:ctrlPr>
                      <w:rPr>
                        <w:rFonts w:ascii="Cambria Math" w:hAnsi="Cambria Math"/>
                        <w:i/>
                        <w:color w:val="000000" w:themeColor="text1"/>
                        <w:szCs w:val="18"/>
                        <w14:textFill>
                          <w14:solidFill>
                            <w14:schemeClr w14:val="tx1"/>
                          </w14:solidFill>
                        </w14:textFill>
                      </w:rPr>
                    </m:ctrlPr>
                  </m:e>
                </m:nary>
                <m:ctrlPr>
                  <w:rPr>
                    <w:rFonts w:ascii="Cambria Math" w:hAnsi="Cambria Math"/>
                    <w:i/>
                    <w:color w:val="000000" w:themeColor="text1"/>
                    <w:szCs w:val="18"/>
                    <w14:textFill>
                      <w14:solidFill>
                        <w14:schemeClr w14:val="tx1"/>
                      </w14:solidFill>
                    </w14:textFill>
                  </w:rPr>
                </m:ctrlPr>
              </m:num>
              <m:den>
                <m:rad>
                  <m:radPr>
                    <m:degHide m:val="true"/>
                    <m:ctrlPr>
                      <w:rPr>
                        <w:rFonts w:ascii="Cambria Math" w:hAnsi="Cambria Math"/>
                        <w:i/>
                        <w:color w:val="000000" w:themeColor="text1"/>
                        <w:szCs w:val="18"/>
                        <w14:textFill>
                          <w14:solidFill>
                            <w14:schemeClr w14:val="tx1"/>
                          </w14:solidFill>
                        </w14:textFill>
                      </w:rPr>
                    </m:ctrlPr>
                  </m:radPr>
                  <m:deg>
                    <m:ctrlPr>
                      <w:rPr>
                        <w:rFonts w:ascii="Cambria Math" w:hAnsi="Cambria Math"/>
                        <w:i/>
                        <w:color w:val="000000" w:themeColor="text1"/>
                        <w:szCs w:val="18"/>
                        <w14:textFill>
                          <w14:solidFill>
                            <w14:schemeClr w14:val="tx1"/>
                          </w14:solidFill>
                        </w14:textFill>
                      </w:rPr>
                    </m:ctrlPr>
                  </m:deg>
                  <m:e>
                    <m:nary>
                      <m:naryPr>
                        <m:chr m:val="∑"/>
                        <m:limLoc m:val="subSup"/>
                        <m:ctrlPr>
                          <w:rPr>
                            <w:rFonts w:ascii="Cambria Math" w:hAnsi="Cambria Math"/>
                            <w:i/>
                            <w:color w:val="000000" w:themeColor="text1"/>
                            <w:szCs w:val="18"/>
                            <w14:textFill>
                              <w14:solidFill>
                                <w14:schemeClr w14:val="tx1"/>
                              </w14:solidFill>
                            </w14:textFill>
                          </w:rPr>
                        </m:ctrlPr>
                      </m:naryPr>
                      <m:sub>
                        <m:r>
                          <m:rPr/>
                          <w:rPr>
                            <w:rFonts w:ascii="Cambria Math" w:hAnsi="Cambria Math"/>
                            <w:color w:val="000000" w:themeColor="text1"/>
                            <w:szCs w:val="18"/>
                            <w14:textFill>
                              <w14:solidFill>
                                <w14:schemeClr w14:val="tx1"/>
                              </w14:solidFill>
                            </w14:textFill>
                          </w:rPr>
                          <m:t>i=1</m:t>
                        </m:r>
                        <m:ctrlPr>
                          <w:rPr>
                            <w:rFonts w:ascii="Cambria Math" w:hAnsi="Cambria Math"/>
                            <w:i/>
                            <w:color w:val="000000" w:themeColor="text1"/>
                            <w:szCs w:val="18"/>
                            <w14:textFill>
                              <w14:solidFill>
                                <w14:schemeClr w14:val="tx1"/>
                              </w14:solidFill>
                            </w14:textFill>
                          </w:rPr>
                        </m:ctrlPr>
                      </m:sub>
                      <m:sup>
                        <m:r>
                          <m:rPr/>
                          <w:rPr>
                            <w:rFonts w:ascii="Cambria Math" w:hAnsi="Cambria Math"/>
                            <w:color w:val="000000" w:themeColor="text1"/>
                            <w:szCs w:val="18"/>
                            <w14:textFill>
                              <w14:solidFill>
                                <w14:schemeClr w14:val="tx1"/>
                              </w14:solidFill>
                            </w14:textFill>
                          </w:rPr>
                          <m:t>n</m:t>
                        </m:r>
                        <m:ctrlPr>
                          <w:rPr>
                            <w:rFonts w:ascii="Cambria Math" w:hAnsi="Cambria Math"/>
                            <w:i/>
                            <w:color w:val="000000" w:themeColor="text1"/>
                            <w:szCs w:val="18"/>
                            <w14:textFill>
                              <w14:solidFill>
                                <w14:schemeClr w14:val="tx1"/>
                              </w14:solidFill>
                            </w14:textFill>
                          </w:rPr>
                        </m:ctrlPr>
                      </m:sup>
                      <m:e>
                        <m:sSubSup>
                          <m:sSubSupPr>
                            <m:ctrlPr>
                              <w:rPr>
                                <w:rFonts w:ascii="Cambria Math" w:hAnsi="Cambria Math"/>
                                <w:i/>
                                <w:color w:val="000000" w:themeColor="text1"/>
                                <w:szCs w:val="18"/>
                                <w14:textFill>
                                  <w14:solidFill>
                                    <w14:schemeClr w14:val="tx1"/>
                                  </w14:solidFill>
                                </w14:textFill>
                              </w:rPr>
                            </m:ctrlPr>
                          </m:sSubSupPr>
                          <m:e>
                            <m:r>
                              <m:rPr/>
                              <w:rPr>
                                <w:rFonts w:ascii="Cambria Math" w:hAnsi="Cambria Math"/>
                                <w:color w:val="000000" w:themeColor="text1"/>
                                <w:szCs w:val="18"/>
                                <w14:textFill>
                                  <w14:solidFill>
                                    <w14:schemeClr w14:val="tx1"/>
                                  </w14:solidFill>
                                </w14:textFill>
                              </w:rPr>
                              <m:t>x</m:t>
                            </m:r>
                            <m:ctrlPr>
                              <w:rPr>
                                <w:rFonts w:ascii="Cambria Math" w:hAnsi="Cambria Math"/>
                                <w:i/>
                                <w:color w:val="000000" w:themeColor="text1"/>
                                <w:szCs w:val="18"/>
                                <w14:textFill>
                                  <w14:solidFill>
                                    <w14:schemeClr w14:val="tx1"/>
                                  </w14:solidFill>
                                </w14:textFill>
                              </w:rPr>
                            </m:ctrlPr>
                          </m:e>
                          <m:sub>
                            <m:r>
                              <m:rPr/>
                              <w:rPr>
                                <w:rFonts w:ascii="Cambria Math" w:hAnsi="Cambria Math"/>
                                <w:color w:val="000000" w:themeColor="text1"/>
                                <w:szCs w:val="18"/>
                                <w14:textFill>
                                  <w14:solidFill>
                                    <w14:schemeClr w14:val="tx1"/>
                                  </w14:solidFill>
                                </w14:textFill>
                              </w:rPr>
                              <m:t>i</m:t>
                            </m:r>
                            <m:ctrlPr>
                              <w:rPr>
                                <w:rFonts w:ascii="Cambria Math" w:hAnsi="Cambria Math"/>
                                <w:i/>
                                <w:color w:val="000000" w:themeColor="text1"/>
                                <w:szCs w:val="18"/>
                                <w14:textFill>
                                  <w14:solidFill>
                                    <w14:schemeClr w14:val="tx1"/>
                                  </w14:solidFill>
                                </w14:textFill>
                              </w:rPr>
                            </m:ctrlPr>
                          </m:sub>
                          <m:sup>
                            <m:r>
                              <m:rPr/>
                              <w:rPr>
                                <w:rFonts w:ascii="Cambria Math" w:hAnsi="Cambria Math"/>
                                <w:color w:val="000000" w:themeColor="text1"/>
                                <w:szCs w:val="18"/>
                                <w14:textFill>
                                  <w14:solidFill>
                                    <w14:schemeClr w14:val="tx1"/>
                                  </w14:solidFill>
                                </w14:textFill>
                              </w:rPr>
                              <m:t>2</m:t>
                            </m:r>
                            <m:ctrlPr>
                              <w:rPr>
                                <w:rFonts w:ascii="Cambria Math" w:hAnsi="Cambria Math"/>
                                <w:i/>
                                <w:color w:val="000000" w:themeColor="text1"/>
                                <w:szCs w:val="18"/>
                                <w14:textFill>
                                  <w14:solidFill>
                                    <w14:schemeClr w14:val="tx1"/>
                                  </w14:solidFill>
                                </w14:textFill>
                              </w:rPr>
                            </m:ctrlPr>
                          </m:sup>
                        </m:sSubSup>
                        <m:ctrlPr>
                          <w:rPr>
                            <w:rFonts w:ascii="Cambria Math" w:hAnsi="Cambria Math"/>
                            <w:i/>
                            <w:color w:val="000000" w:themeColor="text1"/>
                            <w:szCs w:val="18"/>
                            <w14:textFill>
                              <w14:solidFill>
                                <w14:schemeClr w14:val="tx1"/>
                              </w14:solidFill>
                            </w14:textFill>
                          </w:rPr>
                        </m:ctrlPr>
                      </m:e>
                    </m:nary>
                    <m:ctrlPr>
                      <w:rPr>
                        <w:rFonts w:ascii="Cambria Math" w:hAnsi="Cambria Math"/>
                        <w:i/>
                        <w:color w:val="000000" w:themeColor="text1"/>
                        <w:szCs w:val="18"/>
                        <w14:textFill>
                          <w14:solidFill>
                            <w14:schemeClr w14:val="tx1"/>
                          </w14:solidFill>
                        </w14:textFill>
                      </w:rPr>
                    </m:ctrlPr>
                  </m:e>
                </m:rad>
                <m:r>
                  <m:rPr/>
                  <w:rPr>
                    <w:rFonts w:ascii="Cambria Math" w:hAnsi="Cambria Math"/>
                    <w:color w:val="000000" w:themeColor="text1"/>
                    <w:szCs w:val="18"/>
                    <w14:textFill>
                      <w14:solidFill>
                        <w14:schemeClr w14:val="tx1"/>
                      </w14:solidFill>
                    </w14:textFill>
                  </w:rPr>
                  <m:t>∙</m:t>
                </m:r>
                <m:rad>
                  <m:radPr>
                    <m:degHide m:val="true"/>
                    <m:ctrlPr>
                      <w:rPr>
                        <w:rFonts w:ascii="Cambria Math" w:hAnsi="Cambria Math"/>
                        <w:i/>
                        <w:color w:val="000000" w:themeColor="text1"/>
                        <w:szCs w:val="18"/>
                        <w14:textFill>
                          <w14:solidFill>
                            <w14:schemeClr w14:val="tx1"/>
                          </w14:solidFill>
                        </w14:textFill>
                      </w:rPr>
                    </m:ctrlPr>
                  </m:radPr>
                  <m:deg>
                    <m:ctrlPr>
                      <w:rPr>
                        <w:rFonts w:ascii="Cambria Math" w:hAnsi="Cambria Math"/>
                        <w:i/>
                        <w:color w:val="000000" w:themeColor="text1"/>
                        <w:szCs w:val="18"/>
                        <w14:textFill>
                          <w14:solidFill>
                            <w14:schemeClr w14:val="tx1"/>
                          </w14:solidFill>
                        </w14:textFill>
                      </w:rPr>
                    </m:ctrlPr>
                  </m:deg>
                  <m:e>
                    <m:nary>
                      <m:naryPr>
                        <m:chr m:val="∑"/>
                        <m:limLoc m:val="subSup"/>
                        <m:ctrlPr>
                          <w:rPr>
                            <w:rFonts w:ascii="Cambria Math" w:hAnsi="Cambria Math"/>
                            <w:i/>
                            <w:color w:val="000000" w:themeColor="text1"/>
                            <w:szCs w:val="18"/>
                            <w14:textFill>
                              <w14:solidFill>
                                <w14:schemeClr w14:val="tx1"/>
                              </w14:solidFill>
                            </w14:textFill>
                          </w:rPr>
                        </m:ctrlPr>
                      </m:naryPr>
                      <m:sub>
                        <m:r>
                          <m:rPr/>
                          <w:rPr>
                            <w:rFonts w:ascii="Cambria Math" w:hAnsi="Cambria Math"/>
                            <w:color w:val="000000" w:themeColor="text1"/>
                            <w:szCs w:val="18"/>
                            <w14:textFill>
                              <w14:solidFill>
                                <w14:schemeClr w14:val="tx1"/>
                              </w14:solidFill>
                            </w14:textFill>
                          </w:rPr>
                          <m:t>i=1</m:t>
                        </m:r>
                        <m:ctrlPr>
                          <w:rPr>
                            <w:rFonts w:ascii="Cambria Math" w:hAnsi="Cambria Math"/>
                            <w:i/>
                            <w:color w:val="000000" w:themeColor="text1"/>
                            <w:szCs w:val="18"/>
                            <w14:textFill>
                              <w14:solidFill>
                                <w14:schemeClr w14:val="tx1"/>
                              </w14:solidFill>
                            </w14:textFill>
                          </w:rPr>
                        </m:ctrlPr>
                      </m:sub>
                      <m:sup>
                        <m:r>
                          <m:rPr/>
                          <w:rPr>
                            <w:rFonts w:ascii="Cambria Math" w:hAnsi="Cambria Math"/>
                            <w:color w:val="000000" w:themeColor="text1"/>
                            <w:szCs w:val="18"/>
                            <w14:textFill>
                              <w14:solidFill>
                                <w14:schemeClr w14:val="tx1"/>
                              </w14:solidFill>
                            </w14:textFill>
                          </w:rPr>
                          <m:t>n</m:t>
                        </m:r>
                        <m:ctrlPr>
                          <w:rPr>
                            <w:rFonts w:ascii="Cambria Math" w:hAnsi="Cambria Math"/>
                            <w:i/>
                            <w:color w:val="000000" w:themeColor="text1"/>
                            <w:szCs w:val="18"/>
                            <w14:textFill>
                              <w14:solidFill>
                                <w14:schemeClr w14:val="tx1"/>
                              </w14:solidFill>
                            </w14:textFill>
                          </w:rPr>
                        </m:ctrlPr>
                      </m:sup>
                      <m:e>
                        <m:sSubSup>
                          <m:sSubSupPr>
                            <m:ctrlPr>
                              <w:rPr>
                                <w:rFonts w:ascii="Cambria Math" w:hAnsi="Cambria Math"/>
                                <w:i/>
                                <w:color w:val="000000" w:themeColor="text1"/>
                                <w:szCs w:val="18"/>
                                <w14:textFill>
                                  <w14:solidFill>
                                    <w14:schemeClr w14:val="tx1"/>
                                  </w14:solidFill>
                                </w14:textFill>
                              </w:rPr>
                            </m:ctrlPr>
                          </m:sSubSupPr>
                          <m:e>
                            <m:r>
                              <m:rPr/>
                              <w:rPr>
                                <w:rFonts w:ascii="Cambria Math" w:hAnsi="Cambria Math"/>
                                <w:color w:val="000000" w:themeColor="text1"/>
                                <w:szCs w:val="18"/>
                                <w14:textFill>
                                  <w14:solidFill>
                                    <w14:schemeClr w14:val="tx1"/>
                                  </w14:solidFill>
                                </w14:textFill>
                              </w:rPr>
                              <m:t>y</m:t>
                            </m:r>
                            <m:ctrlPr>
                              <w:rPr>
                                <w:rFonts w:ascii="Cambria Math" w:hAnsi="Cambria Math"/>
                                <w:i/>
                                <w:color w:val="000000" w:themeColor="text1"/>
                                <w:szCs w:val="18"/>
                                <w14:textFill>
                                  <w14:solidFill>
                                    <w14:schemeClr w14:val="tx1"/>
                                  </w14:solidFill>
                                </w14:textFill>
                              </w:rPr>
                            </m:ctrlPr>
                          </m:e>
                          <m:sub>
                            <m:r>
                              <m:rPr/>
                              <w:rPr>
                                <w:rFonts w:ascii="Cambria Math" w:hAnsi="Cambria Math"/>
                                <w:color w:val="000000" w:themeColor="text1"/>
                                <w:szCs w:val="18"/>
                                <w14:textFill>
                                  <w14:solidFill>
                                    <w14:schemeClr w14:val="tx1"/>
                                  </w14:solidFill>
                                </w14:textFill>
                              </w:rPr>
                              <m:t>i</m:t>
                            </m:r>
                            <m:ctrlPr>
                              <w:rPr>
                                <w:rFonts w:ascii="Cambria Math" w:hAnsi="Cambria Math"/>
                                <w:i/>
                                <w:color w:val="000000" w:themeColor="text1"/>
                                <w:szCs w:val="18"/>
                                <w14:textFill>
                                  <w14:solidFill>
                                    <w14:schemeClr w14:val="tx1"/>
                                  </w14:solidFill>
                                </w14:textFill>
                              </w:rPr>
                            </m:ctrlPr>
                          </m:sub>
                          <m:sup>
                            <m:r>
                              <m:rPr/>
                              <w:rPr>
                                <w:rFonts w:ascii="Cambria Math" w:hAnsi="Cambria Math"/>
                                <w:color w:val="000000" w:themeColor="text1"/>
                                <w:szCs w:val="18"/>
                                <w14:textFill>
                                  <w14:solidFill>
                                    <w14:schemeClr w14:val="tx1"/>
                                  </w14:solidFill>
                                </w14:textFill>
                              </w:rPr>
                              <m:t>2</m:t>
                            </m:r>
                            <m:ctrlPr>
                              <w:rPr>
                                <w:rFonts w:ascii="Cambria Math" w:hAnsi="Cambria Math"/>
                                <w:i/>
                                <w:color w:val="000000" w:themeColor="text1"/>
                                <w:szCs w:val="18"/>
                                <w14:textFill>
                                  <w14:solidFill>
                                    <w14:schemeClr w14:val="tx1"/>
                                  </w14:solidFill>
                                </w14:textFill>
                              </w:rPr>
                            </m:ctrlPr>
                          </m:sup>
                        </m:sSubSup>
                        <m:ctrlPr>
                          <w:rPr>
                            <w:rFonts w:ascii="Cambria Math" w:hAnsi="Cambria Math"/>
                            <w:i/>
                            <w:color w:val="000000" w:themeColor="text1"/>
                            <w:szCs w:val="18"/>
                            <w14:textFill>
                              <w14:solidFill>
                                <w14:schemeClr w14:val="tx1"/>
                              </w14:solidFill>
                            </w14:textFill>
                          </w:rPr>
                        </m:ctrlPr>
                      </m:e>
                    </m:nary>
                    <m:ctrlPr>
                      <w:rPr>
                        <w:rFonts w:ascii="Cambria Math" w:hAnsi="Cambria Math"/>
                        <w:i/>
                        <w:color w:val="000000" w:themeColor="text1"/>
                        <w:szCs w:val="18"/>
                        <w14:textFill>
                          <w14:solidFill>
                            <w14:schemeClr w14:val="tx1"/>
                          </w14:solidFill>
                        </w14:textFill>
                      </w:rPr>
                    </m:ctrlPr>
                  </m:e>
                </m:rad>
                <m:ctrlPr>
                  <w:rPr>
                    <w:rFonts w:ascii="Cambria Math" w:hAnsi="Cambria Math"/>
                    <w:i/>
                    <w:color w:val="000000" w:themeColor="text1"/>
                    <w:szCs w:val="18"/>
                    <w14:textFill>
                      <w14:solidFill>
                        <w14:schemeClr w14:val="tx1"/>
                      </w14:solidFill>
                    </w14:textFill>
                  </w:rPr>
                </m:ctrlPr>
              </m:den>
            </m:f>
            <m:ctrlPr>
              <w:rPr>
                <w:rFonts w:ascii="Cambria Math" w:hAnsi="Cambria Math"/>
                <w:color w:val="000000" w:themeColor="text1"/>
                <w:szCs w:val="18"/>
                <w14:textFill>
                  <w14:solidFill>
                    <w14:schemeClr w14:val="tx1"/>
                  </w14:solidFill>
                </w14:textFill>
              </w:rPr>
            </m:ctrlPr>
          </m:e>
        </m:func>
      </m:oMath>
      <w:r>
        <w:rPr>
          <w:rFonts w:ascii="Times New Roman" w:hAnsi="Times New Roman" w:eastAsia="微软雅黑"/>
        </w:rPr>
        <w:tab/>
      </w:r>
      <w:r>
        <w:rPr>
          <w:rFonts w:ascii="Times New Roman" w:hAnsi="Times New Roman"/>
        </w:rPr>
        <w:t>(B.</w:t>
      </w:r>
      <w:r>
        <w:rPr>
          <w:rFonts w:ascii="Times New Roman" w:hAnsi="Times New Roman"/>
        </w:rPr>
        <w:fldChar w:fldCharType="begin"/>
      </w:r>
      <w:r>
        <w:rPr>
          <w:rFonts w:ascii="Times New Roman" w:hAnsi="Times New Roman"/>
        </w:rPr>
        <w:instrText xml:space="preserve"> seq fulu_equation_134225062504932004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t>)</w:t>
      </w:r>
    </w:p>
    <w:p>
      <w:pPr>
        <w:pStyle w:val="59"/>
        <w:ind w:firstLine="420"/>
        <w:rPr>
          <w:rFonts w:ascii="Times New Roman" w:hAnsi="Times New Roman"/>
        </w:rPr>
      </w:pPr>
      <w:r>
        <w:rPr>
          <w:rFonts w:hint="eastAsia" w:ascii="Times New Roman" w:hAnsi="Times New Roman"/>
        </w:rPr>
        <w:t>式中：</w:t>
      </w:r>
    </w:p>
    <w:p>
      <w:pPr>
        <w:pStyle w:val="60"/>
        <w:ind w:firstLine="420"/>
        <w:rPr>
          <w:rFonts w:ascii="Times New Roman"/>
        </w:rPr>
      </w:pPr>
      <w:r>
        <w:rPr>
          <w:rFonts w:hint="eastAsia" w:ascii="Times New Roman"/>
        </w:rPr>
        <w:t>SAM(</w:t>
      </w:r>
      <w:r>
        <w:rPr>
          <w:rFonts w:ascii="Times New Roman"/>
        </w:rPr>
        <w:t>x,y</w:t>
      </w:r>
      <w:r>
        <w:rPr>
          <w:rFonts w:hint="eastAsia" w:ascii="Times New Roman"/>
        </w:rPr>
        <w:t>)——光谱角；</w:t>
      </w:r>
    </w:p>
    <w:p>
      <w:pPr>
        <w:pStyle w:val="60"/>
        <w:ind w:firstLine="420"/>
        <w:rPr>
          <w:rFonts w:ascii="Times New Roman"/>
        </w:rPr>
      </w:pPr>
      <w:r>
        <w:rPr>
          <w:rFonts w:ascii="Times New Roman"/>
          <w:i/>
          <w:iCs/>
          <w:color w:val="000000" w:themeColor="text1"/>
          <w:szCs w:val="18"/>
          <w14:textFill>
            <w14:solidFill>
              <w14:schemeClr w14:val="tx1"/>
            </w14:solidFill>
          </w14:textFill>
        </w:rPr>
        <w:t>x</w:t>
      </w:r>
      <w:r>
        <w:rPr>
          <w:rFonts w:ascii="Times New Roman"/>
          <w:i/>
          <w:iCs/>
          <w:color w:val="000000" w:themeColor="text1"/>
          <w:szCs w:val="18"/>
          <w:vertAlign w:val="subscript"/>
          <w14:textFill>
            <w14:solidFill>
              <w14:schemeClr w14:val="tx1"/>
            </w14:solidFill>
          </w14:textFill>
        </w:rPr>
        <w:t>i</w:t>
      </w:r>
      <w:r>
        <w:rPr>
          <w:rFonts w:hint="eastAsia" w:ascii="Times New Roman"/>
        </w:rPr>
        <w:t>——待测光谱第i波段反射率；</w:t>
      </w:r>
    </w:p>
    <w:p>
      <w:pPr>
        <w:pStyle w:val="60"/>
        <w:ind w:firstLine="420"/>
        <w:rPr>
          <w:rFonts w:ascii="Times New Roman"/>
        </w:rPr>
      </w:pPr>
      <w:r>
        <w:rPr>
          <w:rFonts w:ascii="Times New Roman"/>
          <w:i/>
          <w:iCs/>
          <w:color w:val="000000" w:themeColor="text1"/>
          <w:szCs w:val="18"/>
          <w14:textFill>
            <w14:solidFill>
              <w14:schemeClr w14:val="tx1"/>
            </w14:solidFill>
          </w14:textFill>
        </w:rPr>
        <w:t>y</w:t>
      </w:r>
      <w:r>
        <w:rPr>
          <w:rFonts w:ascii="Times New Roman"/>
          <w:i/>
          <w:iCs/>
          <w:color w:val="000000" w:themeColor="text1"/>
          <w:szCs w:val="18"/>
          <w:vertAlign w:val="subscript"/>
          <w14:textFill>
            <w14:solidFill>
              <w14:schemeClr w14:val="tx1"/>
            </w14:solidFill>
          </w14:textFill>
        </w:rPr>
        <w:t xml:space="preserve">i </w:t>
      </w:r>
      <w:r>
        <w:rPr>
          <w:rFonts w:hint="eastAsia" w:ascii="Times New Roman"/>
        </w:rPr>
        <w:t>——参考光谱第i波段反射率。</w:t>
      </w:r>
    </w:p>
    <w:p>
      <w:pPr>
        <w:pStyle w:val="215"/>
        <w:rPr>
          <w:rFonts w:ascii="Times New Roman"/>
        </w:rPr>
      </w:pPr>
      <w:r>
        <w:rPr>
          <w:rFonts w:hint="eastAsia" w:ascii="Times New Roman"/>
        </w:rPr>
        <w:t>根据</w:t>
      </w:r>
      <w:r>
        <w:rPr>
          <w:rFonts w:ascii="Times New Roman"/>
        </w:rPr>
        <w:t>SAM</w:t>
      </w:r>
      <w:r>
        <w:rPr>
          <w:rFonts w:hint="eastAsia" w:ascii="Times New Roman"/>
        </w:rPr>
        <w:t>值对光谱的一致性评价，一般认为：</w:t>
      </w:r>
    </w:p>
    <w:p>
      <w:pPr>
        <w:pStyle w:val="136"/>
        <w:rPr>
          <w:rFonts w:ascii="Times New Roman"/>
        </w:rPr>
      </w:pPr>
      <w:r>
        <w:rPr>
          <w:rFonts w:hint="eastAsia" w:ascii="Times New Roman"/>
        </w:rPr>
        <w:t>SAM＜0.05 rad（≈ 2.9°）：高度相似，可以认为是同一类；</w:t>
      </w:r>
    </w:p>
    <w:p>
      <w:pPr>
        <w:pStyle w:val="136"/>
        <w:rPr>
          <w:rFonts w:ascii="Times New Roman"/>
        </w:rPr>
      </w:pPr>
      <w:r>
        <w:rPr>
          <w:rFonts w:hint="eastAsia" w:ascii="Times New Roman"/>
        </w:rPr>
        <w:t>0.05≤SAM＜0.10 rad（≈ 2.9°–5.7°）：相似，通常仍归为同一类；</w:t>
      </w:r>
    </w:p>
    <w:p>
      <w:pPr>
        <w:pStyle w:val="136"/>
        <w:ind w:left="0" w:firstLine="420"/>
        <w:rPr>
          <w:rFonts w:ascii="Times New Roman"/>
        </w:rPr>
      </w:pPr>
      <w:r>
        <w:rPr>
          <w:rFonts w:hint="eastAsia" w:ascii="Times New Roman"/>
        </w:rPr>
        <w:t>0.10≤SAM＜0.20 rad（≈ 5.7°–11.5°）：相似性一般，视具体任务决定；</w:t>
      </w:r>
    </w:p>
    <w:p>
      <w:pPr>
        <w:pStyle w:val="136"/>
        <w:ind w:left="0" w:firstLine="420"/>
        <w:rPr>
          <w:rFonts w:ascii="Times New Roman"/>
        </w:rPr>
      </w:pPr>
      <w:r>
        <w:rPr>
          <w:rFonts w:hint="eastAsia" w:ascii="Times New Roman"/>
        </w:rPr>
        <w:t>SAM &gt; 0.20 rad（≈ 11.5°）：通常认为不是同一类。</w:t>
      </w:r>
    </w:p>
    <w:p>
      <w:pPr>
        <w:pStyle w:val="60"/>
        <w:ind w:firstLine="420"/>
      </w:pPr>
    </w:p>
    <w:p>
      <w:pPr>
        <w:pStyle w:val="60"/>
        <w:ind w:firstLine="420"/>
        <w:sectPr>
          <w:headerReference r:id="rId27" w:type="default"/>
          <w:footerReference r:id="rId29" w:type="default"/>
          <w:headerReference r:id="rId28" w:type="even"/>
          <w:footerReference r:id="rId30" w:type="even"/>
          <w:pgSz w:w="11906" w:h="16838"/>
          <w:pgMar w:top="1928" w:right="1134" w:bottom="1134" w:left="1134" w:header="1418" w:footer="1134" w:gutter="284"/>
          <w:cols w:space="425" w:num="1"/>
          <w:formProt w:val="0"/>
          <w:docGrid w:type="lines" w:linePitch="312" w:charSpace="0"/>
        </w:sectPr>
      </w:pPr>
    </w:p>
    <w:p>
      <w:pPr>
        <w:pStyle w:val="202"/>
        <w:rPr>
          <w:vanish w:val="0"/>
        </w:rPr>
      </w:pPr>
    </w:p>
    <w:p>
      <w:pPr>
        <w:pStyle w:val="203"/>
        <w:rPr>
          <w:vanish w:val="0"/>
        </w:rPr>
      </w:pPr>
    </w:p>
    <w:p>
      <w:pPr>
        <w:pStyle w:val="80"/>
        <w:spacing w:after="156"/>
      </w:pPr>
      <w:r>
        <w:br w:type="textWrapping"/>
      </w:r>
      <w:bookmarkStart w:id="120" w:name="_Toc228978667"/>
      <w:bookmarkStart w:id="121" w:name="_Toc239680585"/>
      <w:r>
        <w:rPr>
          <w:rFonts w:hint="eastAsia"/>
        </w:rPr>
        <w:t>（资料性）</w:t>
      </w:r>
      <w:r>
        <w:br w:type="textWrapping"/>
      </w:r>
      <w:r>
        <w:rPr>
          <w:rFonts w:hint="eastAsia"/>
        </w:rPr>
        <w:t>模型精度评价指标</w:t>
      </w:r>
      <w:bookmarkEnd w:id="120"/>
      <w:bookmarkEnd w:id="121"/>
    </w:p>
    <w:p>
      <w:pPr>
        <w:pStyle w:val="82"/>
        <w:spacing w:before="156" w:after="156"/>
      </w:pPr>
      <w:bookmarkStart w:id="122" w:name="_Toc228978711"/>
      <w:bookmarkEnd w:id="122"/>
      <w:bookmarkStart w:id="123" w:name="_Toc228978668"/>
      <w:bookmarkEnd w:id="123"/>
      <w:bookmarkStart w:id="124" w:name="_Toc239680586"/>
      <w:bookmarkStart w:id="125" w:name="_Toc228978669"/>
      <w:r>
        <w:rPr>
          <w:rFonts w:hint="eastAsia"/>
        </w:rPr>
        <w:t>决定系数（R</w:t>
      </w:r>
      <w:r>
        <w:rPr>
          <w:rFonts w:ascii="Calibri" w:hAnsi="Calibri" w:cs="Calibri"/>
        </w:rPr>
        <w:t>²</w:t>
      </w:r>
      <w:r>
        <w:rPr>
          <w:rFonts w:hint="eastAsia" w:hAnsi="黑体" w:cs="黑体"/>
        </w:rPr>
        <w:t>）</w:t>
      </w:r>
      <w:bookmarkEnd w:id="124"/>
      <w:bookmarkEnd w:id="125"/>
    </w:p>
    <w:p>
      <w:pPr>
        <w:pStyle w:val="60"/>
        <w:ind w:firstLine="420"/>
      </w:pPr>
      <w:r>
        <w:rPr>
          <w:rFonts w:hint="eastAsia"/>
        </w:rPr>
        <w:t>用于衡量</w:t>
      </w:r>
      <w:r>
        <w:t>反演模型对实测</w:t>
      </w:r>
      <w:r>
        <w:rPr>
          <w:rFonts w:hint="eastAsia"/>
        </w:rPr>
        <w:t>水环境参数</w:t>
      </w:r>
      <w:r>
        <w:t>总变异量的解释程度</w:t>
      </w:r>
      <w:r>
        <w:rPr>
          <w:rFonts w:hint="eastAsia"/>
        </w:rPr>
        <w:t>。R²值越接近1，表示模型越能够解释实测值变化的规律。计算公式见公式（C</w:t>
      </w:r>
      <w:r>
        <w:t>.1</w:t>
      </w:r>
      <w:r>
        <w:rPr>
          <w:rFonts w:hint="eastAsia"/>
        </w:rPr>
        <w:t>）。</w:t>
      </w:r>
    </w:p>
    <w:p>
      <w:pPr>
        <w:pStyle w:val="117"/>
      </w:pPr>
      <w:r>
        <w:tab/>
      </w:r>
      <m:oMath>
        <m:sSup>
          <m:sSupPr>
            <m:ctrlPr>
              <w:rPr>
                <w:rFonts w:ascii="Cambria Math" w:hAnsi="Cambria Math" w:eastAsiaTheme="majorEastAsia"/>
                <w:i/>
              </w:rPr>
            </m:ctrlPr>
          </m:sSupPr>
          <m:e>
            <m:r>
              <m:rPr/>
              <w:rPr>
                <w:rFonts w:ascii="Cambria Math" w:hAnsi="Cambria Math" w:eastAsiaTheme="majorEastAsia"/>
              </w:rPr>
              <m:t>R</m:t>
            </m:r>
            <m:ctrlPr>
              <w:rPr>
                <w:rFonts w:ascii="Cambria Math" w:hAnsi="Cambria Math" w:eastAsiaTheme="majorEastAsia"/>
                <w:i/>
              </w:rPr>
            </m:ctrlPr>
          </m:e>
          <m:sup>
            <m:r>
              <m:rPr/>
              <w:rPr>
                <w:rFonts w:ascii="Cambria Math" w:hAnsi="Cambria Math" w:eastAsiaTheme="majorEastAsia"/>
              </w:rPr>
              <m:t>2</m:t>
            </m:r>
            <m:ctrlPr>
              <w:rPr>
                <w:rFonts w:ascii="Cambria Math" w:hAnsi="Cambria Math" w:eastAsiaTheme="majorEastAsia"/>
                <w:i/>
              </w:rPr>
            </m:ctrlPr>
          </m:sup>
        </m:sSup>
        <m:r>
          <m:rPr>
            <m:sty m:val="p"/>
          </m:rPr>
          <w:rPr>
            <w:rFonts w:ascii="Cambria Math" w:hAnsi="Cambria Math" w:eastAsiaTheme="majorEastAsia"/>
          </w:rPr>
          <m:t xml:space="preserve"> = 1−</m:t>
        </m:r>
        <m:f>
          <m:fPr>
            <m:ctrlPr>
              <w:rPr>
                <w:rFonts w:ascii="Cambria Math" w:hAnsi="Cambria Math" w:eastAsiaTheme="majorEastAsia"/>
              </w:rPr>
            </m:ctrlPr>
          </m:fPr>
          <m:num>
            <m:nary>
              <m:naryPr>
                <m:chr m:val="∑"/>
                <m:limLoc m:val="subSup"/>
                <m:ctrlPr>
                  <w:rPr>
                    <w:rFonts w:ascii="Cambria Math" w:hAnsi="Cambria Math" w:eastAsiaTheme="majorEastAsia"/>
                    <w:i/>
                  </w:rPr>
                </m:ctrlPr>
              </m:naryPr>
              <m:sub>
                <m:r>
                  <m:rPr/>
                  <w:rPr>
                    <w:rFonts w:ascii="Cambria Math" w:hAnsi="Cambria Math" w:eastAsiaTheme="majorEastAsia"/>
                  </w:rPr>
                  <m:t>i=1</m:t>
                </m:r>
                <m:ctrlPr>
                  <w:rPr>
                    <w:rFonts w:ascii="Cambria Math" w:hAnsi="Cambria Math" w:eastAsiaTheme="majorEastAsia"/>
                    <w:i/>
                  </w:rPr>
                </m:ctrlPr>
              </m:sub>
              <m:sup>
                <m:r>
                  <m:rPr/>
                  <w:rPr>
                    <w:rFonts w:ascii="Cambria Math" w:hAnsi="Cambria Math" w:eastAsiaTheme="majorEastAsia"/>
                  </w:rPr>
                  <m:t>n</m:t>
                </m:r>
                <m:ctrlPr>
                  <w:rPr>
                    <w:rFonts w:ascii="Cambria Math" w:hAnsi="Cambria Math" w:eastAsiaTheme="majorEastAsia"/>
                    <w:i/>
                  </w:rPr>
                </m:ctrlPr>
              </m:sup>
              <m:e>
                <m:sSup>
                  <m:sSupPr>
                    <m:ctrlPr>
                      <w:rPr>
                        <w:rFonts w:ascii="Cambria Math" w:hAnsi="Cambria Math" w:eastAsiaTheme="majorEastAsia"/>
                        <w:i/>
                      </w:rPr>
                    </m:ctrlPr>
                  </m:sSupPr>
                  <m:e>
                    <m:d>
                      <m:dPr>
                        <m:ctrlPr>
                          <w:rPr>
                            <w:rFonts w:ascii="Cambria Math" w:hAnsi="Cambria Math" w:eastAsiaTheme="majorEastAsia"/>
                            <w:i/>
                          </w:rPr>
                        </m:ctrlPr>
                      </m:dPr>
                      <m:e>
                        <m:sSub>
                          <m:sSubPr>
                            <m:ctrlPr>
                              <w:rPr>
                                <w:rFonts w:ascii="Cambria Math" w:hAnsi="Cambria Math" w:eastAsiaTheme="majorEastAsia"/>
                                <w:i/>
                              </w:rPr>
                            </m:ctrlPr>
                          </m:sSubPr>
                          <m:e>
                            <m:r>
                              <m:rPr/>
                              <w:rPr>
                                <w:rFonts w:ascii="Cambria Math" w:hAnsi="Cambria Math" w:eastAsiaTheme="majorEastAsia"/>
                              </w:rPr>
                              <m:t>a</m:t>
                            </m:r>
                            <m:ctrlPr>
                              <w:rPr>
                                <w:rFonts w:ascii="Cambria Math" w:hAnsi="Cambria Math" w:eastAsiaTheme="majorEastAsia"/>
                                <w:i/>
                              </w:rPr>
                            </m:ctrlPr>
                          </m:e>
                          <m:sub>
                            <m:r>
                              <m:rPr/>
                              <w:rPr>
                                <w:rFonts w:ascii="Cambria Math" w:hAnsi="Cambria Math" w:eastAsiaTheme="majorEastAsia"/>
                              </w:rPr>
                              <m:t>i</m:t>
                            </m:r>
                            <m:ctrlPr>
                              <w:rPr>
                                <w:rFonts w:ascii="Cambria Math" w:hAnsi="Cambria Math" w:eastAsiaTheme="majorEastAsia"/>
                                <w:i/>
                              </w:rPr>
                            </m:ctrlPr>
                          </m:sub>
                        </m:sSub>
                        <m:r>
                          <m:rPr/>
                          <w:rPr>
                            <w:rFonts w:ascii="Cambria Math" w:hAnsi="Cambria Math" w:eastAsiaTheme="majorEastAsia"/>
                          </w:rPr>
                          <m:t>−</m:t>
                        </m:r>
                        <m:sSub>
                          <m:sSubPr>
                            <m:ctrlPr>
                              <w:rPr>
                                <w:rFonts w:ascii="Cambria Math" w:hAnsi="Cambria Math" w:eastAsiaTheme="majorEastAsia"/>
                                <w:i/>
                              </w:rPr>
                            </m:ctrlPr>
                          </m:sSubPr>
                          <m:e>
                            <m:r>
                              <m:rPr/>
                              <w:rPr>
                                <w:rFonts w:ascii="Cambria Math" w:hAnsi="Cambria Math" w:eastAsiaTheme="majorEastAsia"/>
                              </w:rPr>
                              <m:t>b</m:t>
                            </m:r>
                            <m:ctrlPr>
                              <w:rPr>
                                <w:rFonts w:ascii="Cambria Math" w:hAnsi="Cambria Math" w:eastAsiaTheme="majorEastAsia"/>
                                <w:i/>
                              </w:rPr>
                            </m:ctrlPr>
                          </m:e>
                          <m:sub>
                            <m:r>
                              <m:rPr/>
                              <w:rPr>
                                <w:rFonts w:ascii="Cambria Math" w:hAnsi="Cambria Math" w:eastAsiaTheme="majorEastAsia"/>
                              </w:rPr>
                              <m:t>i</m:t>
                            </m:r>
                            <m:ctrlPr>
                              <w:rPr>
                                <w:rFonts w:ascii="Cambria Math" w:hAnsi="Cambria Math" w:eastAsiaTheme="majorEastAsia"/>
                                <w:i/>
                              </w:rPr>
                            </m:ctrlPr>
                          </m:sub>
                        </m:sSub>
                        <m:ctrlPr>
                          <w:rPr>
                            <w:rFonts w:ascii="Cambria Math" w:hAnsi="Cambria Math" w:eastAsiaTheme="majorEastAsia"/>
                            <w:i/>
                          </w:rPr>
                        </m:ctrlPr>
                      </m:e>
                    </m:d>
                    <m:ctrlPr>
                      <w:rPr>
                        <w:rFonts w:ascii="Cambria Math" w:hAnsi="Cambria Math" w:eastAsiaTheme="majorEastAsia"/>
                        <w:i/>
                      </w:rPr>
                    </m:ctrlPr>
                  </m:e>
                  <m:sup>
                    <m:r>
                      <m:rPr/>
                      <w:rPr>
                        <w:rFonts w:ascii="Cambria Math" w:hAnsi="Cambria Math" w:eastAsiaTheme="majorEastAsia"/>
                      </w:rPr>
                      <m:t>2</m:t>
                    </m:r>
                    <m:ctrlPr>
                      <w:rPr>
                        <w:rFonts w:ascii="Cambria Math" w:hAnsi="Cambria Math" w:eastAsiaTheme="majorEastAsia"/>
                        <w:i/>
                      </w:rPr>
                    </m:ctrlPr>
                  </m:sup>
                </m:sSup>
                <m:ctrlPr>
                  <w:rPr>
                    <w:rFonts w:ascii="Cambria Math" w:hAnsi="Cambria Math" w:eastAsiaTheme="majorEastAsia"/>
                    <w:i/>
                  </w:rPr>
                </m:ctrlPr>
              </m:e>
            </m:nary>
            <m:ctrlPr>
              <w:rPr>
                <w:rFonts w:ascii="Cambria Math" w:hAnsi="Cambria Math" w:eastAsiaTheme="majorEastAsia"/>
              </w:rPr>
            </m:ctrlPr>
          </m:num>
          <m:den>
            <m:nary>
              <m:naryPr>
                <m:chr m:val="∑"/>
                <m:limLoc m:val="subSup"/>
                <m:ctrlPr>
                  <w:rPr>
                    <w:rFonts w:ascii="Cambria Math" w:hAnsi="Cambria Math" w:eastAsiaTheme="majorEastAsia"/>
                    <w:i/>
                  </w:rPr>
                </m:ctrlPr>
              </m:naryPr>
              <m:sub>
                <m:r>
                  <m:rPr/>
                  <w:rPr>
                    <w:rFonts w:ascii="Cambria Math" w:hAnsi="Cambria Math" w:eastAsiaTheme="majorEastAsia"/>
                  </w:rPr>
                  <m:t>i=1</m:t>
                </m:r>
                <m:ctrlPr>
                  <w:rPr>
                    <w:rFonts w:ascii="Cambria Math" w:hAnsi="Cambria Math" w:eastAsiaTheme="majorEastAsia"/>
                    <w:i/>
                  </w:rPr>
                </m:ctrlPr>
              </m:sub>
              <m:sup>
                <m:r>
                  <m:rPr/>
                  <w:rPr>
                    <w:rFonts w:ascii="Cambria Math" w:hAnsi="Cambria Math" w:eastAsiaTheme="majorEastAsia"/>
                  </w:rPr>
                  <m:t>n</m:t>
                </m:r>
                <m:ctrlPr>
                  <w:rPr>
                    <w:rFonts w:ascii="Cambria Math" w:hAnsi="Cambria Math" w:eastAsiaTheme="majorEastAsia"/>
                    <w:i/>
                  </w:rPr>
                </m:ctrlPr>
              </m:sup>
              <m:e>
                <m:sSup>
                  <m:sSupPr>
                    <m:ctrlPr>
                      <w:rPr>
                        <w:rFonts w:ascii="Cambria Math" w:hAnsi="Cambria Math" w:eastAsiaTheme="majorEastAsia"/>
                        <w:i/>
                      </w:rPr>
                    </m:ctrlPr>
                  </m:sSupPr>
                  <m:e>
                    <m:d>
                      <m:dPr>
                        <m:ctrlPr>
                          <w:rPr>
                            <w:rFonts w:ascii="Cambria Math" w:hAnsi="Cambria Math" w:eastAsiaTheme="majorEastAsia"/>
                            <w:i/>
                          </w:rPr>
                        </m:ctrlPr>
                      </m:dPr>
                      <m:e>
                        <m:sSub>
                          <m:sSubPr>
                            <m:ctrlPr>
                              <w:rPr>
                                <w:rFonts w:ascii="Cambria Math" w:hAnsi="Cambria Math" w:eastAsiaTheme="majorEastAsia"/>
                                <w:i/>
                              </w:rPr>
                            </m:ctrlPr>
                          </m:sSubPr>
                          <m:e>
                            <m:r>
                              <m:rPr/>
                              <w:rPr>
                                <w:rFonts w:ascii="Cambria Math" w:hAnsi="Cambria Math" w:eastAsiaTheme="majorEastAsia"/>
                              </w:rPr>
                              <m:t>a</m:t>
                            </m:r>
                            <m:ctrlPr>
                              <w:rPr>
                                <w:rFonts w:ascii="Cambria Math" w:hAnsi="Cambria Math" w:eastAsiaTheme="majorEastAsia"/>
                                <w:i/>
                              </w:rPr>
                            </m:ctrlPr>
                          </m:e>
                          <m:sub>
                            <m:r>
                              <m:rPr/>
                              <w:rPr>
                                <w:rFonts w:ascii="Cambria Math" w:hAnsi="Cambria Math" w:eastAsiaTheme="majorEastAsia"/>
                              </w:rPr>
                              <m:t>i</m:t>
                            </m:r>
                            <m:ctrlPr>
                              <w:rPr>
                                <w:rFonts w:ascii="Cambria Math" w:hAnsi="Cambria Math" w:eastAsiaTheme="majorEastAsia"/>
                                <w:i/>
                              </w:rPr>
                            </m:ctrlPr>
                          </m:sub>
                        </m:sSub>
                        <m:r>
                          <m:rPr/>
                          <w:rPr>
                            <w:rFonts w:ascii="Cambria Math" w:hAnsi="Cambria Math" w:eastAsiaTheme="majorEastAsia"/>
                          </w:rPr>
                          <m:t>−</m:t>
                        </m:r>
                        <m:acc>
                          <m:accPr>
                            <m:chr m:val="̅"/>
                            <m:ctrlPr>
                              <w:rPr>
                                <w:rFonts w:ascii="Cambria Math" w:hAnsi="Cambria Math" w:eastAsiaTheme="majorEastAsia"/>
                                <w:i/>
                              </w:rPr>
                            </m:ctrlPr>
                          </m:accPr>
                          <m:e>
                            <m:sSub>
                              <m:sSubPr>
                                <m:ctrlPr>
                                  <w:rPr>
                                    <w:rFonts w:ascii="Cambria Math" w:hAnsi="Cambria Math" w:eastAsiaTheme="majorEastAsia"/>
                                    <w:i/>
                                  </w:rPr>
                                </m:ctrlPr>
                              </m:sSubPr>
                              <m:e>
                                <m:r>
                                  <m:rPr/>
                                  <w:rPr>
                                    <w:rFonts w:ascii="Cambria Math" w:hAnsi="Cambria Math" w:eastAsiaTheme="majorEastAsia"/>
                                  </w:rPr>
                                  <m:t>b</m:t>
                                </m:r>
                                <m:ctrlPr>
                                  <w:rPr>
                                    <w:rFonts w:ascii="Cambria Math" w:hAnsi="Cambria Math" w:eastAsiaTheme="majorEastAsia"/>
                                    <w:i/>
                                  </w:rPr>
                                </m:ctrlPr>
                              </m:e>
                              <m:sub>
                                <m:r>
                                  <m:rPr/>
                                  <w:rPr>
                                    <w:rFonts w:hint="eastAsia" w:ascii="Cambria Math" w:hAnsi="Cambria Math" w:eastAsiaTheme="majorEastAsia"/>
                                  </w:rPr>
                                  <m:t>i</m:t>
                                </m:r>
                                <m:ctrlPr>
                                  <w:rPr>
                                    <w:rFonts w:ascii="Cambria Math" w:hAnsi="Cambria Math" w:eastAsiaTheme="majorEastAsia"/>
                                    <w:i/>
                                  </w:rPr>
                                </m:ctrlPr>
                              </m:sub>
                            </m:sSub>
                            <m:ctrlPr>
                              <w:rPr>
                                <w:rFonts w:ascii="Cambria Math" w:hAnsi="Cambria Math" w:eastAsiaTheme="majorEastAsia"/>
                                <w:i/>
                              </w:rPr>
                            </m:ctrlPr>
                          </m:e>
                        </m:acc>
                        <m:ctrlPr>
                          <w:rPr>
                            <w:rFonts w:ascii="Cambria Math" w:hAnsi="Cambria Math" w:eastAsiaTheme="majorEastAsia"/>
                            <w:i/>
                          </w:rPr>
                        </m:ctrlPr>
                      </m:e>
                    </m:d>
                    <m:ctrlPr>
                      <w:rPr>
                        <w:rFonts w:ascii="Cambria Math" w:hAnsi="Cambria Math" w:eastAsiaTheme="majorEastAsia"/>
                        <w:i/>
                      </w:rPr>
                    </m:ctrlPr>
                  </m:e>
                  <m:sup>
                    <m:r>
                      <m:rPr/>
                      <w:rPr>
                        <w:rFonts w:ascii="Cambria Math" w:hAnsi="Cambria Math" w:eastAsiaTheme="majorEastAsia"/>
                      </w:rPr>
                      <m:t>2</m:t>
                    </m:r>
                    <m:ctrlPr>
                      <w:rPr>
                        <w:rFonts w:ascii="Cambria Math" w:hAnsi="Cambria Math" w:eastAsiaTheme="majorEastAsia"/>
                        <w:i/>
                      </w:rPr>
                    </m:ctrlPr>
                  </m:sup>
                </m:sSup>
                <m:ctrlPr>
                  <w:rPr>
                    <w:rFonts w:ascii="Cambria Math" w:hAnsi="Cambria Math" w:eastAsiaTheme="majorEastAsia"/>
                    <w:i/>
                  </w:rPr>
                </m:ctrlPr>
              </m:e>
            </m:nary>
            <m:ctrlPr>
              <w:rPr>
                <w:rFonts w:ascii="Cambria Math" w:hAnsi="Cambria Math" w:eastAsiaTheme="majorEastAsia"/>
              </w:rPr>
            </m:ctrlPr>
          </m:den>
        </m:f>
      </m:oMath>
      <w:r>
        <w:rPr>
          <w:rFonts w:ascii="微软雅黑" w:hAnsi="微软雅黑" w:eastAsia="微软雅黑"/>
        </w:rPr>
        <w:tab/>
      </w:r>
      <w:r>
        <w:t>(C.</w:t>
      </w:r>
      <w:r>
        <w:fldChar w:fldCharType="begin"/>
      </w:r>
      <w:r>
        <w:instrText xml:space="preserve"> seq fulu_equation_134225062999157530 </w:instrText>
      </w:r>
      <w:r>
        <w:fldChar w:fldCharType="separate"/>
      </w:r>
      <w:r>
        <w:t>1</w:t>
      </w:r>
      <w:r>
        <w:fldChar w:fldCharType="end"/>
      </w:r>
      <w:r>
        <w:t>)</w:t>
      </w:r>
    </w:p>
    <w:p>
      <w:pPr>
        <w:pStyle w:val="59"/>
        <w:ind w:firstLine="420"/>
      </w:pPr>
      <w:r>
        <w:rPr>
          <w:rFonts w:hint="eastAsia"/>
        </w:rPr>
        <w:t>式中：</w:t>
      </w:r>
    </w:p>
    <w:p>
      <w:pPr>
        <w:pStyle w:val="60"/>
        <w:ind w:firstLine="420"/>
      </w:pPr>
      <w:bookmarkStart w:id="126" w:name="_Hlk228974595"/>
      <w:r>
        <w:rPr>
          <w:rFonts w:hint="eastAsia"/>
        </w:rPr>
        <w:t>R²——</w:t>
      </w:r>
      <w:r>
        <w:t>决定系数</w:t>
      </w:r>
      <w:r>
        <w:rPr>
          <w:rFonts w:hint="eastAsia"/>
        </w:rPr>
        <w:t>；</w:t>
      </w:r>
    </w:p>
    <w:p>
      <w:pPr>
        <w:pStyle w:val="60"/>
        <w:ind w:firstLine="420"/>
      </w:pPr>
      <w:r>
        <w:rPr>
          <w:rFonts w:hint="eastAsia"/>
        </w:rPr>
        <w:t>a</w:t>
      </w:r>
      <w:r>
        <w:rPr>
          <w:vertAlign w:val="subscript"/>
        </w:rPr>
        <w:t>i</w:t>
      </w:r>
      <w:r>
        <w:rPr>
          <w:rFonts w:hint="eastAsia"/>
        </w:rPr>
        <w:t>——实验室测量的真实值；</w:t>
      </w:r>
    </w:p>
    <w:p>
      <w:pPr>
        <w:pStyle w:val="60"/>
        <w:ind w:firstLine="420"/>
      </w:pPr>
      <w:r>
        <w:rPr>
          <w:rFonts w:hint="eastAsia"/>
        </w:rPr>
        <w:t>b</w:t>
      </w:r>
      <w:r>
        <w:rPr>
          <w:vertAlign w:val="subscript"/>
        </w:rPr>
        <w:t>i</w:t>
      </w:r>
      <w:r>
        <w:rPr>
          <w:rFonts w:hint="eastAsia"/>
        </w:rPr>
        <w:t>——模型反演值；</w:t>
      </w:r>
    </w:p>
    <w:p>
      <w:pPr>
        <w:pStyle w:val="60"/>
        <w:ind w:firstLine="420"/>
      </w:pPr>
      <m:oMath>
        <m:acc>
          <m:accPr>
            <m:chr m:val="̅"/>
            <m:ctrlPr>
              <w:rPr>
                <w:rFonts w:ascii="Cambria Math" w:hAnsi="Cambria Math" w:eastAsiaTheme="majorEastAsia"/>
                <w:i/>
              </w:rPr>
            </m:ctrlPr>
          </m:accPr>
          <m:e>
            <m:sSub>
              <m:sSubPr>
                <m:ctrlPr>
                  <w:rPr>
                    <w:rFonts w:ascii="Cambria Math" w:hAnsi="Cambria Math" w:eastAsiaTheme="majorEastAsia"/>
                    <w:i/>
                  </w:rPr>
                </m:ctrlPr>
              </m:sSubPr>
              <m:e>
                <m:r>
                  <m:rPr/>
                  <w:rPr>
                    <w:rFonts w:ascii="Cambria Math" w:hAnsi="Cambria Math" w:eastAsiaTheme="majorEastAsia"/>
                  </w:rPr>
                  <m:t>b</m:t>
                </m:r>
                <m:ctrlPr>
                  <w:rPr>
                    <w:rFonts w:ascii="Cambria Math" w:hAnsi="Cambria Math" w:eastAsiaTheme="majorEastAsia"/>
                    <w:i/>
                  </w:rPr>
                </m:ctrlPr>
              </m:e>
              <m:sub>
                <m:r>
                  <m:rPr/>
                  <w:rPr>
                    <w:rFonts w:ascii="Cambria Math" w:hAnsi="Cambria Math" w:eastAsiaTheme="majorEastAsia"/>
                  </w:rPr>
                  <m:t>i</m:t>
                </m:r>
                <m:ctrlPr>
                  <w:rPr>
                    <w:rFonts w:ascii="Cambria Math" w:hAnsi="Cambria Math" w:eastAsiaTheme="majorEastAsia"/>
                    <w:i/>
                  </w:rPr>
                </m:ctrlPr>
              </m:sub>
            </m:sSub>
            <m:ctrlPr>
              <w:rPr>
                <w:rFonts w:ascii="Cambria Math" w:hAnsi="Cambria Math" w:eastAsiaTheme="majorEastAsia"/>
                <w:i/>
              </w:rPr>
            </m:ctrlPr>
          </m:e>
        </m:acc>
      </m:oMath>
      <w:r>
        <w:rPr>
          <w:rFonts w:hint="eastAsia"/>
        </w:rPr>
        <w:t>——</w:t>
      </w:r>
      <w:r>
        <w:t>真实值的均值</w:t>
      </w:r>
      <w:r>
        <w:rPr>
          <w:rFonts w:hint="eastAsia"/>
        </w:rPr>
        <w:t>；</w:t>
      </w:r>
    </w:p>
    <w:p>
      <w:pPr>
        <w:pStyle w:val="60"/>
        <w:ind w:firstLine="420"/>
      </w:pPr>
      <w:r>
        <w:t>n</w:t>
      </w:r>
      <w:r>
        <w:rPr>
          <w:rFonts w:hint="eastAsia"/>
        </w:rPr>
        <w:t>——代表样本数。</w:t>
      </w:r>
    </w:p>
    <w:bookmarkEnd w:id="126"/>
    <w:p>
      <w:pPr>
        <w:pStyle w:val="82"/>
        <w:spacing w:before="156" w:after="156"/>
      </w:pPr>
      <w:bookmarkStart w:id="127" w:name="_Toc239680587"/>
      <w:bookmarkStart w:id="128" w:name="_Toc228978670"/>
      <w:r>
        <w:rPr>
          <w:rFonts w:hint="eastAsia"/>
        </w:rPr>
        <w:t>均方根误差（RMSE）</w:t>
      </w:r>
      <w:bookmarkEnd w:id="127"/>
      <w:bookmarkEnd w:id="128"/>
    </w:p>
    <w:p>
      <w:pPr>
        <w:pStyle w:val="60"/>
        <w:ind w:firstLine="420"/>
      </w:pPr>
      <w:r>
        <w:t>量化</w:t>
      </w:r>
      <w:r>
        <w:rPr>
          <w:rFonts w:hint="eastAsia"/>
        </w:rPr>
        <w:t>模型反演值</w:t>
      </w:r>
      <w:r>
        <w:t>与真实值之间的平均偏差程度</w:t>
      </w:r>
      <w:r>
        <w:rPr>
          <w:rFonts w:hint="eastAsia"/>
        </w:rPr>
        <w:t>，</w:t>
      </w:r>
      <w:r>
        <w:t>反映模型</w:t>
      </w:r>
      <w:r>
        <w:rPr>
          <w:rFonts w:hint="eastAsia"/>
        </w:rPr>
        <w:t>反演</w:t>
      </w:r>
      <w:r>
        <w:t>值的离散程度和稳定性</w:t>
      </w:r>
      <w:r>
        <w:rPr>
          <w:rFonts w:hint="eastAsia"/>
        </w:rPr>
        <w:t>。RMSE值越小，说明模型预测效果越好。计算公式见公式（C</w:t>
      </w:r>
      <w:r>
        <w:t>.2</w:t>
      </w:r>
      <w:r>
        <w:rPr>
          <w:rFonts w:hint="eastAsia"/>
        </w:rPr>
        <w:t>）。</w:t>
      </w:r>
    </w:p>
    <w:p>
      <w:pPr>
        <w:pStyle w:val="117"/>
      </w:pPr>
      <w:r>
        <w:tab/>
      </w:r>
      <m:oMath>
        <m:r>
          <m:rPr/>
          <w:rPr>
            <w:rFonts w:ascii="Cambria Math" w:hAnsi="Cambria Math" w:eastAsiaTheme="majorEastAsia"/>
          </w:rPr>
          <m:t>RMSE</m:t>
        </m:r>
        <m:r>
          <m:rPr>
            <m:sty m:val="p"/>
          </m:rPr>
          <w:rPr>
            <w:rFonts w:ascii="Cambria Math" w:hAnsi="Cambria Math" w:eastAsiaTheme="majorEastAsia"/>
          </w:rPr>
          <m:t xml:space="preserve"> =</m:t>
        </m:r>
        <m:rad>
          <m:radPr>
            <m:degHide m:val="true"/>
            <m:ctrlPr>
              <w:rPr>
                <w:rFonts w:ascii="Cambria Math" w:hAnsi="Cambria Math" w:eastAsiaTheme="majorEastAsia"/>
              </w:rPr>
            </m:ctrlPr>
          </m:radPr>
          <m:deg>
            <m:ctrlPr>
              <w:rPr>
                <w:rFonts w:ascii="Cambria Math" w:hAnsi="Cambria Math" w:eastAsiaTheme="majorEastAsia"/>
              </w:rPr>
            </m:ctrlPr>
          </m:deg>
          <m:e>
            <m:f>
              <m:fPr>
                <m:ctrlPr>
                  <w:rPr>
                    <w:rFonts w:ascii="Cambria Math" w:hAnsi="Cambria Math" w:eastAsiaTheme="majorEastAsia"/>
                  </w:rPr>
                </m:ctrlPr>
              </m:fPr>
              <m:num>
                <m:nary>
                  <m:naryPr>
                    <m:chr m:val="∑"/>
                    <m:limLoc m:val="subSup"/>
                    <m:ctrlPr>
                      <w:rPr>
                        <w:rFonts w:ascii="Cambria Math" w:hAnsi="Cambria Math" w:eastAsiaTheme="majorEastAsia"/>
                      </w:rPr>
                    </m:ctrlPr>
                  </m:naryPr>
                  <m:sub>
                    <m:r>
                      <m:rPr/>
                      <w:rPr>
                        <w:rFonts w:ascii="Cambria Math" w:hAnsi="Cambria Math" w:eastAsiaTheme="majorEastAsia"/>
                      </w:rPr>
                      <m:t>i</m:t>
                    </m:r>
                    <m:r>
                      <m:rPr>
                        <m:sty m:val="p"/>
                      </m:rPr>
                      <w:rPr>
                        <w:rFonts w:ascii="Cambria Math" w:hAnsi="Cambria Math" w:eastAsiaTheme="majorEastAsia"/>
                      </w:rPr>
                      <m:t>=1</m:t>
                    </m:r>
                    <m:ctrlPr>
                      <w:rPr>
                        <w:rFonts w:ascii="Cambria Math" w:hAnsi="Cambria Math" w:eastAsiaTheme="majorEastAsia"/>
                      </w:rPr>
                    </m:ctrlPr>
                  </m:sub>
                  <m:sup>
                    <m:r>
                      <m:rPr/>
                      <w:rPr>
                        <w:rFonts w:ascii="Cambria Math" w:hAnsi="Cambria Math" w:eastAsiaTheme="majorEastAsia"/>
                      </w:rPr>
                      <m:t>n</m:t>
                    </m:r>
                    <m:ctrlPr>
                      <w:rPr>
                        <w:rFonts w:ascii="Cambria Math" w:hAnsi="Cambria Math" w:eastAsiaTheme="majorEastAsia"/>
                      </w:rPr>
                    </m:ctrlPr>
                  </m:sup>
                  <m:e>
                    <m:sSup>
                      <m:sSupPr>
                        <m:ctrlPr>
                          <w:rPr>
                            <w:rFonts w:ascii="Cambria Math" w:hAnsi="Cambria Math" w:eastAsiaTheme="majorEastAsia"/>
                            <w:i/>
                          </w:rPr>
                        </m:ctrlPr>
                      </m:sSupPr>
                      <m:e>
                        <m:d>
                          <m:dPr>
                            <m:ctrlPr>
                              <w:rPr>
                                <w:rFonts w:ascii="Cambria Math" w:hAnsi="Cambria Math" w:eastAsiaTheme="majorEastAsia"/>
                                <w:i/>
                              </w:rPr>
                            </m:ctrlPr>
                          </m:dPr>
                          <m:e>
                            <m:sSub>
                              <m:sSubPr>
                                <m:ctrlPr>
                                  <w:rPr>
                                    <w:rFonts w:ascii="Cambria Math" w:hAnsi="Cambria Math" w:eastAsiaTheme="majorEastAsia"/>
                                    <w:i/>
                                  </w:rPr>
                                </m:ctrlPr>
                              </m:sSubPr>
                              <m:e>
                                <m:r>
                                  <m:rPr/>
                                  <w:rPr>
                                    <w:rFonts w:ascii="Cambria Math" w:hAnsi="Cambria Math" w:eastAsiaTheme="majorEastAsia"/>
                                  </w:rPr>
                                  <m:t>a</m:t>
                                </m:r>
                                <m:ctrlPr>
                                  <w:rPr>
                                    <w:rFonts w:ascii="Cambria Math" w:hAnsi="Cambria Math" w:eastAsiaTheme="majorEastAsia"/>
                                    <w:i/>
                                  </w:rPr>
                                </m:ctrlPr>
                              </m:e>
                              <m:sub>
                                <m:r>
                                  <m:rPr/>
                                  <w:rPr>
                                    <w:rFonts w:ascii="Cambria Math" w:hAnsi="Cambria Math" w:eastAsiaTheme="majorEastAsia"/>
                                  </w:rPr>
                                  <m:t>i</m:t>
                                </m:r>
                                <m:ctrlPr>
                                  <w:rPr>
                                    <w:rFonts w:ascii="Cambria Math" w:hAnsi="Cambria Math" w:eastAsiaTheme="majorEastAsia"/>
                                    <w:i/>
                                  </w:rPr>
                                </m:ctrlPr>
                              </m:sub>
                            </m:sSub>
                            <m:r>
                              <m:rPr/>
                              <w:rPr>
                                <w:rFonts w:ascii="Cambria Math" w:hAnsi="Cambria Math" w:eastAsiaTheme="majorEastAsia"/>
                              </w:rPr>
                              <m:t>−</m:t>
                            </m:r>
                            <m:sSub>
                              <m:sSubPr>
                                <m:ctrlPr>
                                  <w:rPr>
                                    <w:rFonts w:ascii="Cambria Math" w:hAnsi="Cambria Math" w:eastAsiaTheme="majorEastAsia"/>
                                    <w:i/>
                                  </w:rPr>
                                </m:ctrlPr>
                              </m:sSubPr>
                              <m:e>
                                <m:r>
                                  <m:rPr/>
                                  <w:rPr>
                                    <w:rFonts w:ascii="Cambria Math" w:hAnsi="Cambria Math" w:eastAsiaTheme="majorEastAsia"/>
                                  </w:rPr>
                                  <m:t>b</m:t>
                                </m:r>
                                <m:ctrlPr>
                                  <w:rPr>
                                    <w:rFonts w:ascii="Cambria Math" w:hAnsi="Cambria Math" w:eastAsiaTheme="majorEastAsia"/>
                                    <w:i/>
                                  </w:rPr>
                                </m:ctrlPr>
                              </m:e>
                              <m:sub>
                                <m:r>
                                  <m:rPr/>
                                  <w:rPr>
                                    <w:rFonts w:ascii="Cambria Math" w:hAnsi="Cambria Math" w:eastAsiaTheme="majorEastAsia"/>
                                  </w:rPr>
                                  <m:t>i</m:t>
                                </m:r>
                                <m:ctrlPr>
                                  <w:rPr>
                                    <w:rFonts w:ascii="Cambria Math" w:hAnsi="Cambria Math" w:eastAsiaTheme="majorEastAsia"/>
                                    <w:i/>
                                  </w:rPr>
                                </m:ctrlPr>
                              </m:sub>
                            </m:sSub>
                            <m:ctrlPr>
                              <w:rPr>
                                <w:rFonts w:ascii="Cambria Math" w:hAnsi="Cambria Math" w:eastAsiaTheme="majorEastAsia"/>
                                <w:i/>
                              </w:rPr>
                            </m:ctrlPr>
                          </m:e>
                        </m:d>
                        <m:ctrlPr>
                          <w:rPr>
                            <w:rFonts w:ascii="Cambria Math" w:hAnsi="Cambria Math" w:eastAsiaTheme="majorEastAsia"/>
                            <w:i/>
                          </w:rPr>
                        </m:ctrlPr>
                      </m:e>
                      <m:sup>
                        <m:r>
                          <m:rPr/>
                          <w:rPr>
                            <w:rFonts w:ascii="Cambria Math" w:hAnsi="Cambria Math" w:eastAsiaTheme="majorEastAsia"/>
                          </w:rPr>
                          <m:t>2</m:t>
                        </m:r>
                        <m:ctrlPr>
                          <w:rPr>
                            <w:rFonts w:ascii="Cambria Math" w:hAnsi="Cambria Math" w:eastAsiaTheme="majorEastAsia"/>
                            <w:i/>
                          </w:rPr>
                        </m:ctrlPr>
                      </m:sup>
                    </m:sSup>
                    <m:ctrlPr>
                      <w:rPr>
                        <w:rFonts w:ascii="Cambria Math" w:hAnsi="Cambria Math" w:eastAsiaTheme="majorEastAsia"/>
                      </w:rPr>
                    </m:ctrlPr>
                  </m:e>
                </m:nary>
                <m:ctrlPr>
                  <w:rPr>
                    <w:rFonts w:ascii="Cambria Math" w:hAnsi="Cambria Math" w:eastAsiaTheme="majorEastAsia"/>
                  </w:rPr>
                </m:ctrlPr>
              </m:num>
              <m:den>
                <m:r>
                  <m:rPr/>
                  <w:rPr>
                    <w:rFonts w:ascii="Cambria Math" w:hAnsi="Cambria Math" w:eastAsiaTheme="majorEastAsia"/>
                  </w:rPr>
                  <m:t>n</m:t>
                </m:r>
                <m:ctrlPr>
                  <w:rPr>
                    <w:rFonts w:ascii="Cambria Math" w:hAnsi="Cambria Math" w:eastAsiaTheme="majorEastAsia"/>
                  </w:rPr>
                </m:ctrlPr>
              </m:den>
            </m:f>
            <m:ctrlPr>
              <w:rPr>
                <w:rFonts w:ascii="Cambria Math" w:hAnsi="Cambria Math" w:eastAsiaTheme="majorEastAsia"/>
              </w:rPr>
            </m:ctrlPr>
          </m:e>
        </m:rad>
      </m:oMath>
      <w:r>
        <w:rPr>
          <w:rFonts w:ascii="微软雅黑" w:hAnsi="微软雅黑" w:eastAsia="微软雅黑"/>
        </w:rPr>
        <w:tab/>
      </w:r>
      <w:r>
        <w:t>(C.</w:t>
      </w:r>
      <w:r>
        <w:fldChar w:fldCharType="begin"/>
      </w:r>
      <w:r>
        <w:instrText xml:space="preserve">  seq fulu_equation_134225062999157530  </w:instrText>
      </w:r>
      <w:r>
        <w:fldChar w:fldCharType="separate"/>
      </w:r>
      <w:r>
        <w:t>2</w:t>
      </w:r>
      <w:r>
        <w:fldChar w:fldCharType="end"/>
      </w:r>
      <w:r>
        <w:t>)</w:t>
      </w:r>
    </w:p>
    <w:p>
      <w:pPr>
        <w:pStyle w:val="59"/>
        <w:ind w:firstLine="420"/>
      </w:pPr>
      <w:r>
        <w:rPr>
          <w:rFonts w:hint="eastAsia"/>
        </w:rPr>
        <w:t>式中：</w:t>
      </w:r>
    </w:p>
    <w:p>
      <w:pPr>
        <w:pStyle w:val="59"/>
        <w:ind w:firstLine="420"/>
        <w:rPr>
          <w:rFonts w:ascii="宋体" w:hAnsi="Times New Roman"/>
          <w:szCs w:val="20"/>
        </w:rPr>
      </w:pPr>
      <w:r>
        <w:rPr>
          <w:rFonts w:ascii="宋体" w:hAnsi="Times New Roman"/>
          <w:szCs w:val="20"/>
        </w:rPr>
        <w:t>RMSE</w:t>
      </w:r>
      <w:r>
        <w:rPr>
          <w:rFonts w:hint="eastAsia" w:ascii="宋体" w:hAnsi="Times New Roman"/>
          <w:szCs w:val="20"/>
        </w:rPr>
        <w:t>——</w:t>
      </w:r>
      <w:r>
        <w:rPr>
          <w:rFonts w:ascii="宋体" w:hAnsi="Times New Roman"/>
          <w:szCs w:val="20"/>
        </w:rPr>
        <w:t>均方根误差</w:t>
      </w:r>
      <w:r>
        <w:rPr>
          <w:rFonts w:hint="eastAsia" w:ascii="宋体" w:hAnsi="Times New Roman"/>
          <w:szCs w:val="20"/>
        </w:rPr>
        <w:t>；</w:t>
      </w:r>
    </w:p>
    <w:p>
      <w:pPr>
        <w:pStyle w:val="59"/>
        <w:ind w:firstLine="420"/>
        <w:rPr>
          <w:rFonts w:ascii="宋体" w:hAnsi="Times New Roman"/>
          <w:szCs w:val="20"/>
        </w:rPr>
      </w:pPr>
      <w:r>
        <w:rPr>
          <w:rFonts w:hint="eastAsia" w:ascii="宋体" w:hAnsi="Times New Roman"/>
          <w:szCs w:val="20"/>
        </w:rPr>
        <w:t>a</w:t>
      </w:r>
      <w:r>
        <w:rPr>
          <w:rFonts w:ascii="宋体" w:hAnsi="Times New Roman"/>
          <w:szCs w:val="20"/>
          <w:vertAlign w:val="subscript"/>
        </w:rPr>
        <w:t>i</w:t>
      </w:r>
      <w:r>
        <w:rPr>
          <w:rFonts w:hint="eastAsia" w:ascii="宋体" w:hAnsi="Times New Roman"/>
          <w:szCs w:val="20"/>
        </w:rPr>
        <w:t>——实验室测量的真实值；</w:t>
      </w:r>
    </w:p>
    <w:p>
      <w:pPr>
        <w:pStyle w:val="59"/>
        <w:ind w:firstLine="420"/>
        <w:rPr>
          <w:rFonts w:ascii="宋体" w:hAnsi="Times New Roman"/>
          <w:szCs w:val="20"/>
        </w:rPr>
      </w:pPr>
      <w:r>
        <w:rPr>
          <w:rFonts w:hint="eastAsia" w:ascii="宋体" w:hAnsi="Times New Roman"/>
          <w:szCs w:val="20"/>
        </w:rPr>
        <w:t>b</w:t>
      </w:r>
      <w:r>
        <w:rPr>
          <w:rFonts w:ascii="宋体" w:hAnsi="Times New Roman"/>
          <w:szCs w:val="20"/>
          <w:vertAlign w:val="subscript"/>
        </w:rPr>
        <w:t>i</w:t>
      </w:r>
      <w:r>
        <w:rPr>
          <w:rFonts w:hint="eastAsia" w:ascii="宋体" w:hAnsi="Times New Roman"/>
          <w:szCs w:val="20"/>
        </w:rPr>
        <w:t>——</w:t>
      </w:r>
      <w:r>
        <w:rPr>
          <w:rFonts w:hint="eastAsia"/>
        </w:rPr>
        <w:t>模型反演值</w:t>
      </w:r>
      <w:r>
        <w:rPr>
          <w:rFonts w:hint="eastAsia" w:ascii="宋体" w:hAnsi="Times New Roman"/>
          <w:szCs w:val="20"/>
        </w:rPr>
        <w:t>；</w:t>
      </w:r>
    </w:p>
    <w:p>
      <w:pPr>
        <w:pStyle w:val="60"/>
        <w:ind w:firstLine="420"/>
      </w:pPr>
      <w:r>
        <w:rPr>
          <w:rFonts w:hint="eastAsia"/>
        </w:rPr>
        <w:t>n——代表样本数。</w:t>
      </w:r>
    </w:p>
    <w:p>
      <w:pPr>
        <w:pStyle w:val="82"/>
        <w:spacing w:before="156" w:after="156"/>
      </w:pPr>
      <w:bookmarkStart w:id="129" w:name="_Toc239680588"/>
      <w:bookmarkStart w:id="130" w:name="_Toc228978671"/>
      <w:r>
        <w:rPr>
          <w:rFonts w:hint="eastAsia"/>
        </w:rPr>
        <w:t>均方误差（MSE）</w:t>
      </w:r>
      <w:bookmarkEnd w:id="129"/>
      <w:bookmarkEnd w:id="130"/>
    </w:p>
    <w:p>
      <w:pPr>
        <w:pStyle w:val="60"/>
        <w:ind w:firstLine="420"/>
      </w:pPr>
      <w:r>
        <w:rPr>
          <w:rFonts w:hint="eastAsia"/>
        </w:rPr>
        <w:t>衡量反演值与真实值之间差异的平方平均值。计算公式见公式（C</w:t>
      </w:r>
      <w:r>
        <w:t>.3</w:t>
      </w:r>
      <w:r>
        <w:rPr>
          <w:rFonts w:hint="eastAsia"/>
        </w:rPr>
        <w:t>）。</w:t>
      </w:r>
    </w:p>
    <w:p>
      <w:pPr>
        <w:pStyle w:val="117"/>
      </w:pPr>
      <w:r>
        <w:tab/>
      </w:r>
      <m:oMath>
        <m:r>
          <m:rPr/>
          <w:rPr>
            <w:rFonts w:ascii="Cambria Math" w:hAnsi="Cambria Math" w:eastAsiaTheme="majorEastAsia"/>
          </w:rPr>
          <m:t xml:space="preserve">MSE = </m:t>
        </m:r>
        <m:f>
          <m:fPr>
            <m:ctrlPr>
              <w:rPr>
                <w:rFonts w:ascii="Cambria Math" w:hAnsi="Cambria Math" w:eastAsiaTheme="majorEastAsia"/>
              </w:rPr>
            </m:ctrlPr>
          </m:fPr>
          <m:num>
            <m:r>
              <m:rPr>
                <m:sty m:val="p"/>
              </m:rPr>
              <w:rPr>
                <w:rFonts w:ascii="Cambria Math" w:hAnsi="Cambria Math" w:eastAsiaTheme="majorEastAsia"/>
              </w:rPr>
              <m:t>1</m:t>
            </m:r>
            <m:ctrlPr>
              <w:rPr>
                <w:rFonts w:ascii="Cambria Math" w:hAnsi="Cambria Math" w:eastAsiaTheme="majorEastAsia"/>
              </w:rPr>
            </m:ctrlPr>
          </m:num>
          <m:den>
            <m:r>
              <m:rPr/>
              <w:rPr>
                <w:rFonts w:ascii="Cambria Math" w:hAnsi="Cambria Math" w:eastAsiaTheme="majorEastAsia"/>
              </w:rPr>
              <m:t>n</m:t>
            </m:r>
            <m:ctrlPr>
              <w:rPr>
                <w:rFonts w:ascii="Cambria Math" w:hAnsi="Cambria Math" w:eastAsiaTheme="majorEastAsia"/>
              </w:rPr>
            </m:ctrlPr>
          </m:den>
        </m:f>
        <m:r>
          <m:rPr>
            <m:sty m:val="p"/>
          </m:rPr>
          <w:rPr>
            <w:rFonts w:ascii="Cambria Math" w:hAnsi="Cambria Math" w:eastAsiaTheme="majorEastAsia"/>
          </w:rPr>
          <m:t>×</m:t>
        </m:r>
        <m:nary>
          <m:naryPr>
            <m:chr m:val="∑"/>
            <m:limLoc m:val="subSup"/>
            <m:ctrlPr>
              <w:rPr>
                <w:rFonts w:ascii="Cambria Math" w:hAnsi="Cambria Math" w:eastAsiaTheme="majorEastAsia"/>
              </w:rPr>
            </m:ctrlPr>
          </m:naryPr>
          <m:sub>
            <m:r>
              <m:rPr/>
              <w:rPr>
                <w:rFonts w:ascii="Cambria Math" w:hAnsi="Cambria Math" w:eastAsiaTheme="majorEastAsia"/>
              </w:rPr>
              <m:t>i</m:t>
            </m:r>
            <m:r>
              <m:rPr>
                <m:sty m:val="p"/>
              </m:rPr>
              <w:rPr>
                <w:rFonts w:ascii="Cambria Math" w:hAnsi="Cambria Math" w:eastAsiaTheme="majorEastAsia"/>
              </w:rPr>
              <m:t>=1</m:t>
            </m:r>
            <m:ctrlPr>
              <w:rPr>
                <w:rFonts w:ascii="Cambria Math" w:hAnsi="Cambria Math" w:eastAsiaTheme="majorEastAsia"/>
              </w:rPr>
            </m:ctrlPr>
          </m:sub>
          <m:sup>
            <m:r>
              <m:rPr/>
              <w:rPr>
                <w:rFonts w:ascii="Cambria Math" w:hAnsi="Cambria Math" w:eastAsiaTheme="majorEastAsia"/>
              </w:rPr>
              <m:t>n</m:t>
            </m:r>
            <m:ctrlPr>
              <w:rPr>
                <w:rFonts w:ascii="Cambria Math" w:hAnsi="Cambria Math" w:eastAsiaTheme="majorEastAsia"/>
              </w:rPr>
            </m:ctrlPr>
          </m:sup>
          <m:e>
            <m:sSup>
              <m:sSupPr>
                <m:ctrlPr>
                  <w:rPr>
                    <w:rFonts w:ascii="Cambria Math" w:hAnsi="Cambria Math" w:eastAsiaTheme="majorEastAsia"/>
                  </w:rPr>
                </m:ctrlPr>
              </m:sSupPr>
              <m:e>
                <m:r>
                  <m:rPr>
                    <m:sty m:val="p"/>
                  </m:rPr>
                  <w:rPr>
                    <w:rFonts w:ascii="Cambria Math" w:hAnsi="Cambria Math" w:eastAsiaTheme="majorEastAsia"/>
                  </w:rPr>
                  <m:t>(</m:t>
                </m:r>
                <m:sSub>
                  <m:sSubPr>
                    <m:ctrlPr>
                      <w:rPr>
                        <w:rFonts w:ascii="Cambria Math" w:hAnsi="Cambria Math" w:eastAsiaTheme="majorEastAsia"/>
                      </w:rPr>
                    </m:ctrlPr>
                  </m:sSubPr>
                  <m:e>
                    <m:r>
                      <m:rPr/>
                      <w:rPr>
                        <w:rFonts w:ascii="Cambria Math" w:hAnsi="Cambria Math" w:eastAsiaTheme="majorEastAsia"/>
                      </w:rPr>
                      <m:t>a</m:t>
                    </m:r>
                    <m:ctrlPr>
                      <w:rPr>
                        <w:rFonts w:ascii="Cambria Math" w:hAnsi="Cambria Math" w:eastAsiaTheme="majorEastAsia"/>
                      </w:rPr>
                    </m:ctrlPr>
                  </m:e>
                  <m:sub>
                    <m:r>
                      <m:rPr/>
                      <w:rPr>
                        <w:rFonts w:ascii="Cambria Math" w:hAnsi="Cambria Math" w:eastAsiaTheme="majorEastAsia"/>
                      </w:rPr>
                      <m:t>i</m:t>
                    </m:r>
                    <m:ctrlPr>
                      <w:rPr>
                        <w:rFonts w:ascii="Cambria Math" w:hAnsi="Cambria Math" w:eastAsiaTheme="majorEastAsia"/>
                      </w:rPr>
                    </m:ctrlPr>
                  </m:sub>
                </m:sSub>
                <m:r>
                  <m:rPr>
                    <m:sty m:val="p"/>
                  </m:rPr>
                  <w:rPr>
                    <w:rFonts w:ascii="Cambria Math" w:hAnsi="Cambria Math" w:eastAsiaTheme="majorEastAsia"/>
                  </w:rPr>
                  <m:t>−</m:t>
                </m:r>
                <m:sSub>
                  <m:sSubPr>
                    <m:ctrlPr>
                      <w:rPr>
                        <w:rFonts w:ascii="Cambria Math" w:hAnsi="Cambria Math" w:eastAsiaTheme="majorEastAsia"/>
                      </w:rPr>
                    </m:ctrlPr>
                  </m:sSubPr>
                  <m:e>
                    <m:r>
                      <m:rPr/>
                      <w:rPr>
                        <w:rFonts w:ascii="Cambria Math" w:hAnsi="Cambria Math" w:eastAsiaTheme="majorEastAsia"/>
                      </w:rPr>
                      <m:t>b</m:t>
                    </m:r>
                    <m:ctrlPr>
                      <w:rPr>
                        <w:rFonts w:ascii="Cambria Math" w:hAnsi="Cambria Math" w:eastAsiaTheme="majorEastAsia"/>
                      </w:rPr>
                    </m:ctrlPr>
                  </m:e>
                  <m:sub>
                    <m:r>
                      <m:rPr/>
                      <w:rPr>
                        <w:rFonts w:ascii="Cambria Math" w:hAnsi="Cambria Math" w:eastAsiaTheme="majorEastAsia"/>
                      </w:rPr>
                      <m:t>i</m:t>
                    </m:r>
                    <m:ctrlPr>
                      <w:rPr>
                        <w:rFonts w:ascii="Cambria Math" w:hAnsi="Cambria Math" w:eastAsiaTheme="majorEastAsia"/>
                      </w:rPr>
                    </m:ctrlPr>
                  </m:sub>
                </m:sSub>
                <m:r>
                  <m:rPr>
                    <m:sty m:val="p"/>
                  </m:rPr>
                  <w:rPr>
                    <w:rFonts w:ascii="Cambria Math" w:hAnsi="Cambria Math" w:eastAsiaTheme="majorEastAsia"/>
                  </w:rPr>
                  <m:t>)</m:t>
                </m:r>
                <m:ctrlPr>
                  <w:rPr>
                    <w:rFonts w:ascii="Cambria Math" w:hAnsi="Cambria Math" w:eastAsiaTheme="majorEastAsia"/>
                  </w:rPr>
                </m:ctrlPr>
              </m:e>
              <m:sup>
                <m:r>
                  <m:rPr>
                    <m:sty m:val="p"/>
                  </m:rPr>
                  <w:rPr>
                    <w:rFonts w:ascii="Cambria Math" w:hAnsi="Cambria Math" w:eastAsiaTheme="majorEastAsia"/>
                  </w:rPr>
                  <m:t>2</m:t>
                </m:r>
                <m:ctrlPr>
                  <w:rPr>
                    <w:rFonts w:ascii="Cambria Math" w:hAnsi="Cambria Math" w:eastAsiaTheme="majorEastAsia"/>
                  </w:rPr>
                </m:ctrlPr>
              </m:sup>
            </m:sSup>
            <m:ctrlPr>
              <w:rPr>
                <w:rFonts w:ascii="Cambria Math" w:hAnsi="Cambria Math" w:eastAsiaTheme="majorEastAsia"/>
              </w:rPr>
            </m:ctrlPr>
          </m:e>
        </m:nary>
      </m:oMath>
      <w:r>
        <w:rPr>
          <w:rFonts w:ascii="微软雅黑" w:hAnsi="微软雅黑" w:eastAsia="微软雅黑"/>
        </w:rPr>
        <w:tab/>
      </w:r>
      <w:r>
        <w:t>(C.</w:t>
      </w:r>
      <w:r>
        <w:fldChar w:fldCharType="begin"/>
      </w:r>
      <w:r>
        <w:instrText xml:space="preserve">  seq fulu_equation_134225062999157530  </w:instrText>
      </w:r>
      <w:r>
        <w:fldChar w:fldCharType="separate"/>
      </w:r>
      <w:r>
        <w:t>3</w:t>
      </w:r>
      <w:r>
        <w:fldChar w:fldCharType="end"/>
      </w:r>
      <w:r>
        <w:t>)</w:t>
      </w:r>
    </w:p>
    <w:p>
      <w:pPr>
        <w:pStyle w:val="59"/>
        <w:ind w:firstLine="420"/>
      </w:pPr>
      <w:r>
        <w:rPr>
          <w:rFonts w:hint="eastAsia"/>
        </w:rPr>
        <w:t>式中：</w:t>
      </w:r>
    </w:p>
    <w:p>
      <w:pPr>
        <w:pStyle w:val="59"/>
        <w:ind w:firstLine="420"/>
        <w:rPr>
          <w:rFonts w:ascii="宋体" w:hAnsi="Times New Roman"/>
          <w:szCs w:val="20"/>
        </w:rPr>
      </w:pPr>
      <w:r>
        <w:rPr>
          <w:rFonts w:hint="eastAsia" w:ascii="宋体" w:hAnsi="Times New Roman"/>
          <w:szCs w:val="20"/>
        </w:rPr>
        <w:t>MSE——</w:t>
      </w:r>
      <w:r>
        <w:rPr>
          <w:rFonts w:ascii="宋体" w:hAnsi="Times New Roman"/>
          <w:szCs w:val="20"/>
        </w:rPr>
        <w:t>均方误差</w:t>
      </w:r>
      <w:r>
        <w:rPr>
          <w:rFonts w:hint="eastAsia" w:ascii="宋体" w:hAnsi="Times New Roman"/>
          <w:szCs w:val="20"/>
        </w:rPr>
        <w:t>；</w:t>
      </w:r>
    </w:p>
    <w:p>
      <w:pPr>
        <w:pStyle w:val="59"/>
        <w:ind w:firstLine="420"/>
        <w:rPr>
          <w:rFonts w:ascii="宋体" w:hAnsi="Times New Roman"/>
          <w:szCs w:val="20"/>
        </w:rPr>
      </w:pPr>
      <w:r>
        <w:rPr>
          <w:rFonts w:hint="eastAsia" w:ascii="宋体" w:hAnsi="Times New Roman"/>
          <w:szCs w:val="20"/>
        </w:rPr>
        <w:t>a</w:t>
      </w:r>
      <w:r>
        <w:rPr>
          <w:rFonts w:ascii="宋体" w:hAnsi="Times New Roman"/>
          <w:szCs w:val="20"/>
          <w:vertAlign w:val="subscript"/>
        </w:rPr>
        <w:t>i</w:t>
      </w:r>
      <w:r>
        <w:rPr>
          <w:rFonts w:hint="eastAsia" w:ascii="宋体" w:hAnsi="Times New Roman"/>
          <w:szCs w:val="20"/>
        </w:rPr>
        <w:t>——实验室测量的真实值；</w:t>
      </w:r>
    </w:p>
    <w:p>
      <w:pPr>
        <w:pStyle w:val="59"/>
        <w:ind w:firstLine="420"/>
        <w:rPr>
          <w:rFonts w:ascii="宋体" w:hAnsi="Times New Roman"/>
          <w:szCs w:val="20"/>
        </w:rPr>
      </w:pPr>
      <w:r>
        <w:rPr>
          <w:rFonts w:hint="eastAsia" w:ascii="宋体" w:hAnsi="Times New Roman"/>
          <w:szCs w:val="20"/>
        </w:rPr>
        <w:t>b</w:t>
      </w:r>
      <w:r>
        <w:rPr>
          <w:rFonts w:ascii="宋体" w:hAnsi="Times New Roman"/>
          <w:szCs w:val="20"/>
          <w:vertAlign w:val="subscript"/>
        </w:rPr>
        <w:t>i</w:t>
      </w:r>
      <w:r>
        <w:rPr>
          <w:rFonts w:hint="eastAsia" w:ascii="宋体" w:hAnsi="Times New Roman"/>
          <w:szCs w:val="20"/>
        </w:rPr>
        <w:t>——</w:t>
      </w:r>
      <w:r>
        <w:rPr>
          <w:rFonts w:hint="eastAsia"/>
        </w:rPr>
        <w:t>模型反演值</w:t>
      </w:r>
      <w:r>
        <w:rPr>
          <w:rFonts w:hint="eastAsia" w:ascii="宋体" w:hAnsi="Times New Roman"/>
          <w:szCs w:val="20"/>
        </w:rPr>
        <w:t>；</w:t>
      </w:r>
    </w:p>
    <w:p>
      <w:pPr>
        <w:pStyle w:val="60"/>
        <w:ind w:firstLine="420"/>
      </w:pPr>
      <w:r>
        <w:rPr>
          <w:rFonts w:hint="eastAsia"/>
        </w:rPr>
        <w:t>n——代表样本数。</w:t>
      </w:r>
    </w:p>
    <w:p>
      <w:pPr>
        <w:pStyle w:val="82"/>
        <w:spacing w:before="156" w:after="156"/>
      </w:pPr>
      <w:bookmarkStart w:id="131" w:name="_Toc228978672"/>
      <w:bookmarkStart w:id="132" w:name="_Toc239680589"/>
      <w:r>
        <w:rPr>
          <w:rFonts w:hint="eastAsia"/>
        </w:rPr>
        <w:t>平均绝对误差（MAE）</w:t>
      </w:r>
      <w:bookmarkEnd w:id="131"/>
      <w:bookmarkEnd w:id="132"/>
    </w:p>
    <w:p>
      <w:pPr>
        <w:pStyle w:val="60"/>
        <w:ind w:firstLine="420"/>
      </w:pPr>
      <w:bookmarkStart w:id="133" w:name="OLE_LINK6"/>
      <w:r>
        <w:rPr>
          <w:rFonts w:hint="eastAsia"/>
        </w:rPr>
        <w:t>反演值与真实值之间绝对误差的平均值</w:t>
      </w:r>
      <w:bookmarkEnd w:id="133"/>
      <w:r>
        <w:rPr>
          <w:rFonts w:hint="eastAsia"/>
        </w:rPr>
        <w:t>，反映平均误差幅度，越小表明模型预测结果越精确。计算公式见公式（C</w:t>
      </w:r>
      <w:r>
        <w:t>.4</w:t>
      </w:r>
      <w:r>
        <w:rPr>
          <w:rFonts w:hint="eastAsia"/>
        </w:rPr>
        <w:t>）。</w:t>
      </w:r>
    </w:p>
    <w:p>
      <w:pPr>
        <w:pStyle w:val="117"/>
      </w:pPr>
      <w:r>
        <w:tab/>
      </w:r>
      <m:oMath>
        <m:r>
          <m:rPr/>
          <w:rPr>
            <w:rFonts w:ascii="Cambria Math" w:hAnsi="Cambria Math" w:eastAsiaTheme="majorEastAsia"/>
          </w:rPr>
          <m:t xml:space="preserve">MAE = </m:t>
        </m:r>
        <m:f>
          <m:fPr>
            <m:ctrlPr>
              <w:rPr>
                <w:rFonts w:ascii="Cambria Math" w:hAnsi="Cambria Math" w:eastAsiaTheme="majorEastAsia"/>
              </w:rPr>
            </m:ctrlPr>
          </m:fPr>
          <m:num>
            <m:r>
              <m:rPr>
                <m:sty m:val="p"/>
              </m:rPr>
              <w:rPr>
                <w:rFonts w:ascii="Cambria Math" w:hAnsi="Cambria Math" w:eastAsiaTheme="majorEastAsia"/>
              </w:rPr>
              <m:t>1</m:t>
            </m:r>
            <m:ctrlPr>
              <w:rPr>
                <w:rFonts w:ascii="Cambria Math" w:hAnsi="Cambria Math" w:eastAsiaTheme="majorEastAsia"/>
              </w:rPr>
            </m:ctrlPr>
          </m:num>
          <m:den>
            <m:r>
              <m:rPr/>
              <w:rPr>
                <w:rFonts w:ascii="Cambria Math" w:hAnsi="Cambria Math" w:eastAsiaTheme="majorEastAsia"/>
              </w:rPr>
              <m:t>n</m:t>
            </m:r>
            <m:ctrlPr>
              <w:rPr>
                <w:rFonts w:ascii="Cambria Math" w:hAnsi="Cambria Math" w:eastAsiaTheme="majorEastAsia"/>
              </w:rPr>
            </m:ctrlPr>
          </m:den>
        </m:f>
        <m:r>
          <m:rPr>
            <m:sty m:val="p"/>
          </m:rPr>
          <w:rPr>
            <w:rFonts w:ascii="Cambria Math" w:hAnsi="Cambria Math" w:eastAsiaTheme="majorEastAsia"/>
          </w:rPr>
          <m:t>×</m:t>
        </m:r>
        <m:nary>
          <m:naryPr>
            <m:chr m:val="∑"/>
            <m:limLoc m:val="subSup"/>
            <m:ctrlPr>
              <w:rPr>
                <w:rFonts w:ascii="Cambria Math" w:hAnsi="Cambria Math" w:eastAsiaTheme="majorEastAsia"/>
              </w:rPr>
            </m:ctrlPr>
          </m:naryPr>
          <m:sub>
            <m:r>
              <m:rPr/>
              <w:rPr>
                <w:rFonts w:ascii="Cambria Math" w:hAnsi="Cambria Math" w:eastAsiaTheme="majorEastAsia"/>
              </w:rPr>
              <m:t>i</m:t>
            </m:r>
            <m:r>
              <m:rPr>
                <m:sty m:val="p"/>
              </m:rPr>
              <w:rPr>
                <w:rFonts w:ascii="Cambria Math" w:hAnsi="Cambria Math" w:eastAsiaTheme="majorEastAsia"/>
              </w:rPr>
              <m:t>=1</m:t>
            </m:r>
            <m:ctrlPr>
              <w:rPr>
                <w:rFonts w:ascii="Cambria Math" w:hAnsi="Cambria Math" w:eastAsiaTheme="majorEastAsia"/>
              </w:rPr>
            </m:ctrlPr>
          </m:sub>
          <m:sup>
            <m:r>
              <m:rPr/>
              <w:rPr>
                <w:rFonts w:ascii="Cambria Math" w:hAnsi="Cambria Math" w:eastAsiaTheme="majorEastAsia"/>
              </w:rPr>
              <m:t>n</m:t>
            </m:r>
            <m:ctrlPr>
              <w:rPr>
                <w:rFonts w:ascii="Cambria Math" w:hAnsi="Cambria Math" w:eastAsiaTheme="majorEastAsia"/>
              </w:rPr>
            </m:ctrlPr>
          </m:sup>
          <m:e>
            <m:d>
              <m:dPr>
                <m:begChr m:val="|"/>
                <m:endChr m:val="|"/>
                <m:ctrlPr>
                  <w:rPr>
                    <w:rFonts w:ascii="Cambria Math" w:hAnsi="Cambria Math" w:eastAsiaTheme="majorEastAsia"/>
                  </w:rPr>
                </m:ctrlPr>
              </m:dPr>
              <m:e>
                <m:sSub>
                  <m:sSubPr>
                    <m:ctrlPr>
                      <w:rPr>
                        <w:rFonts w:ascii="Cambria Math" w:hAnsi="Cambria Math" w:eastAsiaTheme="majorEastAsia"/>
                      </w:rPr>
                    </m:ctrlPr>
                  </m:sSubPr>
                  <m:e>
                    <m:r>
                      <m:rPr/>
                      <w:rPr>
                        <w:rFonts w:ascii="Cambria Math" w:hAnsi="Cambria Math" w:eastAsiaTheme="majorEastAsia"/>
                      </w:rPr>
                      <m:t>a</m:t>
                    </m:r>
                    <m:ctrlPr>
                      <w:rPr>
                        <w:rFonts w:ascii="Cambria Math" w:hAnsi="Cambria Math" w:eastAsiaTheme="majorEastAsia"/>
                      </w:rPr>
                    </m:ctrlPr>
                  </m:e>
                  <m:sub>
                    <m:r>
                      <m:rPr/>
                      <w:rPr>
                        <w:rFonts w:ascii="Cambria Math" w:hAnsi="Cambria Math" w:eastAsiaTheme="majorEastAsia"/>
                      </w:rPr>
                      <m:t>i</m:t>
                    </m:r>
                    <m:ctrlPr>
                      <w:rPr>
                        <w:rFonts w:ascii="Cambria Math" w:hAnsi="Cambria Math" w:eastAsiaTheme="majorEastAsia"/>
                      </w:rPr>
                    </m:ctrlPr>
                  </m:sub>
                </m:sSub>
                <m:r>
                  <m:rPr>
                    <m:sty m:val="p"/>
                  </m:rPr>
                  <w:rPr>
                    <w:rFonts w:ascii="Cambria Math" w:hAnsi="Cambria Math" w:eastAsiaTheme="majorEastAsia"/>
                  </w:rPr>
                  <m:t>−</m:t>
                </m:r>
                <m:sSub>
                  <m:sSubPr>
                    <m:ctrlPr>
                      <w:rPr>
                        <w:rFonts w:ascii="Cambria Math" w:hAnsi="Cambria Math" w:eastAsiaTheme="majorEastAsia"/>
                      </w:rPr>
                    </m:ctrlPr>
                  </m:sSubPr>
                  <m:e>
                    <m:r>
                      <m:rPr/>
                      <w:rPr>
                        <w:rFonts w:ascii="Cambria Math" w:hAnsi="Cambria Math" w:eastAsiaTheme="majorEastAsia"/>
                      </w:rPr>
                      <m:t>b</m:t>
                    </m:r>
                    <m:ctrlPr>
                      <w:rPr>
                        <w:rFonts w:ascii="Cambria Math" w:hAnsi="Cambria Math" w:eastAsiaTheme="majorEastAsia"/>
                      </w:rPr>
                    </m:ctrlPr>
                  </m:e>
                  <m:sub>
                    <m:r>
                      <m:rPr/>
                      <w:rPr>
                        <w:rFonts w:ascii="Cambria Math" w:hAnsi="Cambria Math" w:eastAsiaTheme="majorEastAsia"/>
                      </w:rPr>
                      <m:t>i</m:t>
                    </m:r>
                    <m:ctrlPr>
                      <w:rPr>
                        <w:rFonts w:ascii="Cambria Math" w:hAnsi="Cambria Math" w:eastAsiaTheme="majorEastAsia"/>
                      </w:rPr>
                    </m:ctrlPr>
                  </m:sub>
                </m:sSub>
                <m:ctrlPr>
                  <w:rPr>
                    <w:rFonts w:ascii="Cambria Math" w:hAnsi="Cambria Math" w:eastAsiaTheme="majorEastAsia"/>
                  </w:rPr>
                </m:ctrlPr>
              </m:e>
            </m:d>
            <m:ctrlPr>
              <w:rPr>
                <w:rFonts w:ascii="Cambria Math" w:hAnsi="Cambria Math" w:eastAsiaTheme="majorEastAsia"/>
              </w:rPr>
            </m:ctrlPr>
          </m:e>
        </m:nary>
      </m:oMath>
      <w:r>
        <w:rPr>
          <w:rFonts w:ascii="微软雅黑" w:hAnsi="微软雅黑" w:eastAsia="微软雅黑"/>
        </w:rPr>
        <w:tab/>
      </w:r>
      <w:r>
        <w:t>(C.</w:t>
      </w:r>
      <w:r>
        <w:fldChar w:fldCharType="begin"/>
      </w:r>
      <w:r>
        <w:instrText xml:space="preserve">  seq fulu_equation_134225062999157530  </w:instrText>
      </w:r>
      <w:r>
        <w:fldChar w:fldCharType="separate"/>
      </w:r>
      <w:r>
        <w:t>4</w:t>
      </w:r>
      <w:r>
        <w:fldChar w:fldCharType="end"/>
      </w:r>
      <w:r>
        <w:t>)</w:t>
      </w:r>
    </w:p>
    <w:p>
      <w:pPr>
        <w:pStyle w:val="59"/>
        <w:ind w:firstLine="420"/>
      </w:pPr>
      <w:r>
        <w:rPr>
          <w:rFonts w:hint="eastAsia"/>
        </w:rPr>
        <w:t>式中：</w:t>
      </w:r>
    </w:p>
    <w:p>
      <w:pPr>
        <w:pStyle w:val="59"/>
        <w:ind w:firstLine="420"/>
        <w:rPr>
          <w:rFonts w:ascii="宋体" w:hAnsi="Times New Roman"/>
          <w:szCs w:val="20"/>
        </w:rPr>
      </w:pPr>
      <w:r>
        <w:rPr>
          <w:rFonts w:hint="eastAsia" w:ascii="宋体" w:hAnsi="Times New Roman"/>
          <w:szCs w:val="20"/>
        </w:rPr>
        <w:t>M</w:t>
      </w:r>
      <w:r>
        <w:rPr>
          <w:rFonts w:ascii="宋体" w:hAnsi="Times New Roman"/>
          <w:szCs w:val="20"/>
        </w:rPr>
        <w:t>A</w:t>
      </w:r>
      <w:r>
        <w:rPr>
          <w:rFonts w:hint="eastAsia" w:ascii="宋体" w:hAnsi="Times New Roman"/>
          <w:szCs w:val="20"/>
        </w:rPr>
        <w:t>E——</w:t>
      </w:r>
      <w:r>
        <w:rPr>
          <w:rFonts w:ascii="宋体" w:hAnsi="Times New Roman"/>
          <w:szCs w:val="20"/>
        </w:rPr>
        <w:t>平均绝对误差</w:t>
      </w:r>
      <w:r>
        <w:rPr>
          <w:rFonts w:hint="eastAsia" w:ascii="宋体" w:hAnsi="Times New Roman"/>
          <w:szCs w:val="20"/>
        </w:rPr>
        <w:t>；</w:t>
      </w:r>
    </w:p>
    <w:p>
      <w:pPr>
        <w:pStyle w:val="59"/>
        <w:ind w:firstLine="420"/>
        <w:rPr>
          <w:rFonts w:ascii="宋体" w:hAnsi="Times New Roman"/>
          <w:szCs w:val="20"/>
        </w:rPr>
      </w:pPr>
      <w:r>
        <w:rPr>
          <w:rFonts w:hint="eastAsia" w:ascii="宋体" w:hAnsi="Times New Roman"/>
          <w:szCs w:val="20"/>
        </w:rPr>
        <w:t>a</w:t>
      </w:r>
      <w:r>
        <w:rPr>
          <w:rFonts w:ascii="宋体" w:hAnsi="Times New Roman"/>
          <w:szCs w:val="20"/>
          <w:vertAlign w:val="subscript"/>
        </w:rPr>
        <w:t>i</w:t>
      </w:r>
      <w:r>
        <w:rPr>
          <w:rFonts w:hint="eastAsia" w:ascii="宋体" w:hAnsi="Times New Roman"/>
          <w:szCs w:val="20"/>
        </w:rPr>
        <w:t>——实验室测量的真实值；</w:t>
      </w:r>
    </w:p>
    <w:p>
      <w:pPr>
        <w:pStyle w:val="59"/>
        <w:ind w:firstLine="420"/>
        <w:rPr>
          <w:rFonts w:ascii="宋体" w:hAnsi="Times New Roman"/>
          <w:szCs w:val="20"/>
        </w:rPr>
      </w:pPr>
      <w:r>
        <w:rPr>
          <w:rFonts w:hint="eastAsia" w:ascii="宋体" w:hAnsi="Times New Roman"/>
          <w:szCs w:val="20"/>
        </w:rPr>
        <w:t>b</w:t>
      </w:r>
      <w:r>
        <w:rPr>
          <w:rFonts w:ascii="宋体" w:hAnsi="Times New Roman"/>
          <w:szCs w:val="20"/>
          <w:vertAlign w:val="subscript"/>
        </w:rPr>
        <w:t>i</w:t>
      </w:r>
      <w:r>
        <w:rPr>
          <w:rFonts w:hint="eastAsia" w:ascii="宋体" w:hAnsi="Times New Roman"/>
          <w:szCs w:val="20"/>
        </w:rPr>
        <w:t>——</w:t>
      </w:r>
      <w:r>
        <w:rPr>
          <w:rFonts w:hint="eastAsia"/>
        </w:rPr>
        <w:t>模型反演值</w:t>
      </w:r>
      <w:r>
        <w:rPr>
          <w:rFonts w:hint="eastAsia" w:ascii="宋体" w:hAnsi="Times New Roman"/>
          <w:szCs w:val="20"/>
        </w:rPr>
        <w:t>；</w:t>
      </w:r>
    </w:p>
    <w:p>
      <w:pPr>
        <w:pStyle w:val="60"/>
        <w:ind w:firstLine="420"/>
      </w:pPr>
      <w:r>
        <w:rPr>
          <w:rFonts w:hint="eastAsia"/>
        </w:rPr>
        <w:t>n——代表样本数。</w:t>
      </w:r>
    </w:p>
    <w:p>
      <w:pPr>
        <w:pStyle w:val="60"/>
        <w:ind w:firstLine="420"/>
      </w:pPr>
    </w:p>
    <w:p>
      <w:pPr>
        <w:pStyle w:val="60"/>
        <w:ind w:firstLine="420"/>
        <w:sectPr>
          <w:headerReference r:id="rId31" w:type="default"/>
          <w:footerReference r:id="rId33" w:type="default"/>
          <w:headerReference r:id="rId32" w:type="even"/>
          <w:footerReference r:id="rId34" w:type="even"/>
          <w:pgSz w:w="11906" w:h="16838"/>
          <w:pgMar w:top="1928" w:right="1134" w:bottom="1134" w:left="1134" w:header="1418" w:footer="1134" w:gutter="284"/>
          <w:cols w:space="425" w:num="1"/>
          <w:formProt w:val="0"/>
          <w:docGrid w:type="lines" w:linePitch="312" w:charSpace="0"/>
        </w:sectPr>
      </w:pPr>
    </w:p>
    <w:p>
      <w:pPr>
        <w:pStyle w:val="202"/>
        <w:rPr>
          <w:vanish w:val="0"/>
        </w:rPr>
      </w:pPr>
    </w:p>
    <w:p>
      <w:pPr>
        <w:pStyle w:val="203"/>
        <w:rPr>
          <w:vanish w:val="0"/>
        </w:rPr>
      </w:pPr>
    </w:p>
    <w:bookmarkEnd w:id="113"/>
    <w:p>
      <w:pPr>
        <w:pStyle w:val="67"/>
        <w:spacing w:after="156"/>
      </w:pPr>
      <w:bookmarkStart w:id="134" w:name="_Toc228978675"/>
      <w:bookmarkStart w:id="135" w:name="_Toc239680590"/>
      <w:bookmarkStart w:id="136" w:name="BookMark6"/>
      <w:r>
        <w:rPr>
          <w:rFonts w:hint="eastAsia"/>
          <w:spacing w:val="105"/>
        </w:rPr>
        <w:t>参考文</w:t>
      </w:r>
      <w:r>
        <w:rPr>
          <w:rFonts w:hint="eastAsia"/>
        </w:rPr>
        <w:t>献</w:t>
      </w:r>
      <w:bookmarkEnd w:id="134"/>
      <w:bookmarkEnd w:id="135"/>
    </w:p>
    <w:p>
      <w:pPr>
        <w:pStyle w:val="60"/>
        <w:ind w:firstLine="420"/>
      </w:pPr>
      <w:r>
        <w:rPr>
          <w:rFonts w:hint="eastAsia"/>
        </w:rPr>
        <w:t xml:space="preserve">[1] </w:t>
      </w:r>
      <w:r>
        <w:t>GB/T 31010-2014 色散型高光谱遥感器实验室光谱定标</w:t>
      </w:r>
    </w:p>
    <w:p>
      <w:pPr>
        <w:pStyle w:val="60"/>
        <w:ind w:firstLine="420"/>
      </w:pPr>
      <w:r>
        <w:rPr>
          <w:rFonts w:hint="eastAsia"/>
        </w:rPr>
        <w:t xml:space="preserve">[2] </w:t>
      </w:r>
      <w:r>
        <w:t>GB/T 36301—2018</w:t>
      </w:r>
      <w:r>
        <w:rPr>
          <w:rFonts w:hint="eastAsia"/>
        </w:rPr>
        <w:t xml:space="preserve"> </w:t>
      </w:r>
      <w:r>
        <w:t>航天高光谱成像数据预处理产品分级</w:t>
      </w:r>
    </w:p>
    <w:p>
      <w:pPr>
        <w:pStyle w:val="60"/>
        <w:ind w:firstLine="420"/>
      </w:pPr>
      <w:r>
        <w:rPr>
          <w:rFonts w:hint="eastAsia"/>
        </w:rPr>
        <w:t xml:space="preserve">[3] </w:t>
      </w:r>
      <w:r>
        <w:t>GB/T 36540-2018</w:t>
      </w:r>
      <w:r>
        <w:rPr>
          <w:rFonts w:hint="eastAsia"/>
        </w:rPr>
        <w:t xml:space="preserve"> </w:t>
      </w:r>
      <w:r>
        <w:t>水体可见光-短波红外光谱反射率测量</w:t>
      </w:r>
    </w:p>
    <w:bookmarkEnd w:id="136"/>
    <w:p>
      <w:pPr>
        <w:pStyle w:val="60"/>
        <w:ind w:firstLine="0" w:firstLineChars="0"/>
        <w:jc w:val="center"/>
      </w:pPr>
      <w:bookmarkStart w:id="137" w:name="BookMark8"/>
      <w:r>
        <w:rPr>
          <w:rFonts w:hint="eastAsia"/>
        </w:rPr>
        <w:drawing>
          <wp:inline distT="0" distB="0" distL="0" distR="0">
            <wp:extent cx="1485900" cy="317500"/>
            <wp:effectExtent l="0" t="0" r="0" b="635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42">
                      <a:extLst>
                        <a:ext uri="{28A0092B-C50C-407E-A947-70E740481C1C}">
                          <a14:useLocalDpi xmlns:a14="http://schemas.microsoft.com/office/drawing/2010/main" val="false"/>
                        </a:ext>
                      </a:extLst>
                    </a:blip>
                    <a:stretch>
                      <a:fillRect/>
                    </a:stretch>
                  </pic:blipFill>
                  <pic:spPr>
                    <a:xfrm>
                      <a:off x="0" y="0"/>
                      <a:ext cx="1485900" cy="317500"/>
                    </a:xfrm>
                    <a:prstGeom prst="rect">
                      <a:avLst/>
                    </a:prstGeom>
                  </pic:spPr>
                </pic:pic>
              </a:graphicData>
            </a:graphic>
          </wp:inline>
        </w:drawing>
      </w:r>
      <w:bookmarkEnd w:id="137"/>
    </w:p>
    <w:sectPr>
      <w:headerReference r:id="rId35" w:type="default"/>
      <w:footerReference r:id="rId37" w:type="default"/>
      <w:headerReference r:id="rId36" w:type="even"/>
      <w:footerReference r:id="rId38" w:type="even"/>
      <w:pgSz w:w="11906" w:h="16838"/>
      <w:pgMar w:top="1928" w:right="1134" w:bottom="1134" w:left="1134" w:header="1418" w:footer="1134" w:gutter="284"/>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Arial">
    <w:altName w:val="DejaVu Sans"/>
    <w:panose1 w:val="020B0604020202020204"/>
    <w:charset w:val="00"/>
    <w:family w:val="swiss"/>
    <w:pitch w:val="default"/>
    <w:sig w:usb0="00000000" w:usb1="00000000" w:usb2="00000009" w:usb3="00000000" w:csb0="000001FF" w:csb1="00000000"/>
  </w:font>
  <w:font w:name="等线">
    <w:altName w:val="宋体"/>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方正黑体_GBK">
    <w:panose1 w:val="02000000000000000000"/>
    <w:charset w:val="86"/>
    <w:family w:val="script"/>
    <w:pitch w:val="default"/>
    <w:sig w:usb0="00000001" w:usb1="08000000" w:usb2="00000000" w:usb3="00000000" w:csb0="00040000" w:csb1="00000000"/>
  </w:font>
  <w:font w:name="Cambria Math">
    <w:altName w:val="DejaVu Math TeX Gyre"/>
    <w:panose1 w:val="02040503050406030204"/>
    <w:charset w:val="00"/>
    <w:family w:val="roman"/>
    <w:pitch w:val="default"/>
    <w:sig w:usb0="00000000" w:usb1="00000000" w:usb2="02000000" w:usb3="00000000" w:csb0="0000019F" w:csb1="00000000"/>
  </w:font>
  <w:font w:name="微软雅黑">
    <w:altName w:val="黑体"/>
    <w:panose1 w:val="020B0503020204020204"/>
    <w:charset w:val="86"/>
    <w:family w:val="swiss"/>
    <w:pitch w:val="default"/>
    <w:sig w:usb0="00000000" w:usb1="00000000" w:usb2="00000016" w:usb3="00000000" w:csb0="0004001F" w:csb1="00000000"/>
  </w:font>
  <w:font w:name="DejaVu Sans">
    <w:panose1 w:val="020B0603030804020204"/>
    <w:charset w:val="00"/>
    <w:family w:val="auto"/>
    <w:pitch w:val="default"/>
    <w:sig w:usb0="E7006EFF" w:usb1="D200FDFF" w:usb2="0A246029" w:usb3="0400200C" w:csb0="600001FF" w:csb1="DFFF0000"/>
  </w:font>
  <w:font w:name="DejaVu Math TeX Gyre">
    <w:panose1 w:val="02000503000000000000"/>
    <w:charset w:val="00"/>
    <w:family w:val="auto"/>
    <w:pitch w:val="default"/>
    <w:sig w:usb0="A10000EF" w:usb1="4201F9EE" w:usb2="02000000" w:usb3="00000000" w:csb0="60000193" w:csb1="0DD40000"/>
  </w:font>
  <w:font w:name="NanumGothic">
    <w:panose1 w:val="020D0604000000000000"/>
    <w:charset w:val="81"/>
    <w:family w:val="auto"/>
    <w:pitch w:val="default"/>
    <w:sig w:usb0="900002A7" w:usb1="29D7FCFB" w:usb2="00000010" w:usb3="00000000" w:csb0="00080001" w:csb1="00000000"/>
  </w:font>
  <w:font w:name="等线">
    <w:altName w:val="汉仪仿宋S"/>
    <w:panose1 w:val="00000000000000000000"/>
    <w:charset w:val="00"/>
    <w:family w:val="auto"/>
    <w:pitch w:val="default"/>
    <w:sig w:usb0="00000000" w:usb1="00000000" w:usb2="00000000" w:usb3="00000000" w:csb0="00000000" w:csb1="00000000"/>
  </w:font>
  <w:font w:name="汉仪仿宋S">
    <w:panose1 w:val="00020600040101000101"/>
    <w:charset w:val="86"/>
    <w:family w:val="auto"/>
    <w:pitch w:val="default"/>
    <w:sig w:usb0="A00002BF" w:usb1="38CF7CFA" w:usb2="00000016"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fldChar w:fldCharType="begin"/>
    </w:r>
    <w:r>
      <w:instrText xml:space="preserve">PAGE   \* MERGEFORMAT</w:instrText>
    </w:r>
    <w:r>
      <w:fldChar w:fldCharType="separate"/>
    </w:r>
    <w:r>
      <w:rPr>
        <w:lang w:val="zh-CN"/>
      </w:rPr>
      <w:t>I</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fldChar w:fldCharType="begin"/>
    </w:r>
    <w:r>
      <w:instrText xml:space="preserve"> PAGE   \* MERGEFORMAT \* MERGEFORMAT </w:instrText>
    </w:r>
    <w:r>
      <w:fldChar w:fldCharType="separate"/>
    </w:r>
    <w:r>
      <w:t>II</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fldChar w:fldCharType="begin"/>
    </w:r>
    <w:r>
      <w:instrText xml:space="preserve">PAGE   \* MERGEFORMAT</w:instrText>
    </w:r>
    <w:r>
      <w:fldChar w:fldCharType="separate"/>
    </w:r>
    <w:r>
      <w:rPr>
        <w:lang w:val="zh-CN"/>
      </w:rPr>
      <w:t>III</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fldChar w:fldCharType="begin"/>
    </w:r>
    <w:r>
      <w:instrText xml:space="preserve"> PAGE   \* MERGEFORMAT \* MERGEFORMAT </w:instrText>
    </w:r>
    <w:r>
      <w:fldChar w:fldCharType="separate"/>
    </w:r>
    <w:r>
      <w:t>III</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fldChar w:fldCharType="begin"/>
    </w:r>
    <w:r>
      <w:instrText xml:space="preserve">PAGE   \* MERGEFORMAT</w:instrText>
    </w:r>
    <w:r>
      <w:fldChar w:fldCharType="separate"/>
    </w:r>
    <w:r>
      <w:rPr>
        <w:lang w:val="zh-CN"/>
      </w:rPr>
      <w:t>11</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fldChar w:fldCharType="begin"/>
    </w:r>
    <w:r>
      <w:instrText xml:space="preserve"> PAGE   \* MERGEFORMAT \* MERGEFORMAT </w:instrText>
    </w:r>
    <w:r>
      <w:fldChar w:fldCharType="separate"/>
    </w:r>
    <w:r>
      <w:t>12</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fldChar w:fldCharType="begin"/>
    </w:r>
    <w:r>
      <w:instrText xml:space="preserve">PAGE   \* MERGEFORMAT</w:instrText>
    </w:r>
    <w:r>
      <w:fldChar w:fldCharType="separate"/>
    </w:r>
    <w:r>
      <w:rPr>
        <w:lang w:val="zh-CN"/>
      </w:rPr>
      <w:t>13</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fldChar w:fldCharType="begin"/>
    </w:r>
    <w:r>
      <w:instrText xml:space="preserve"> PAGE   \* MERGEFORMAT \* MERGEFORMAT </w:instrText>
    </w:r>
    <w:r>
      <w:fldChar w:fldCharType="separate"/>
    </w:r>
    <w:r>
      <w:t>12</w:t>
    </w:r>
    <w: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fldChar w:fldCharType="begin"/>
    </w:r>
    <w:r>
      <w:instrText xml:space="preserve">PAGE   \* MERGEFORMAT</w:instrText>
    </w:r>
    <w:r>
      <w:fldChar w:fldCharType="separate"/>
    </w:r>
    <w:r>
      <w:rPr>
        <w:lang w:val="zh-CN"/>
      </w:rPr>
      <w:t>1</w:t>
    </w:r>
    <w: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fldChar w:fldCharType="begin"/>
    </w:r>
    <w:r>
      <w:instrText xml:space="preserve"> PAGE   \* MERGEFORMAT \* MERGEFORMAT </w:instrText>
    </w:r>
    <w:r>
      <w:fldChar w:fldCharType="separate"/>
    </w:r>
    <w:r>
      <w:t>14</w:t>
    </w:r>
    <w: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fldChar w:fldCharType="begin"/>
    </w:r>
    <w:r>
      <w:instrText xml:space="preserve">PAGE   \* MERGEFORMAT</w:instrText>
    </w:r>
    <w:r>
      <w:fldChar w:fldCharType="separate"/>
    </w:r>
    <w:r>
      <w:rPr>
        <w:lang w:val="zh-CN"/>
      </w:rPr>
      <w:t>15</w:t>
    </w:r>
    <w: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fldChar w:fldCharType="begin"/>
    </w:r>
    <w:r>
      <w:instrText xml:space="preserve"> PAGE   \* MERGEFORMAT \* MERGEFORMAT </w:instrText>
    </w:r>
    <w:r>
      <w:fldChar w:fldCharType="separate"/>
    </w:r>
    <w:r>
      <w:t>16</w:t>
    </w:r>
    <w: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fldChar w:fldCharType="begin"/>
    </w:r>
    <w:r>
      <w:instrText xml:space="preserve">PAGE   \* MERGEFORMAT</w:instrText>
    </w:r>
    <w:r>
      <w:fldChar w:fldCharType="separate"/>
    </w:r>
    <w:r>
      <w:rPr>
        <w:lang w:val="zh-CN"/>
      </w:rPr>
      <w:t>17</w:t>
    </w:r>
    <w: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fldChar w:fldCharType="begin"/>
    </w:r>
    <w:r>
      <w:instrText xml:space="preserve"> PAGE   \* MERGEFORMAT \* MERGEFORMAT </w:instrText>
    </w:r>
    <w:r>
      <w:fldChar w:fldCharType="separate"/>
    </w:r>
    <w:r>
      <w:t>17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pPr>
    <w:r>
      <w:fldChar w:fldCharType="begin"/>
    </w:r>
    <w:r>
      <w:instrText xml:space="preserve"> STYLEREF  标准文件_文件编号  \* MERGEFORMAT </w:instrText>
    </w:r>
    <w:r>
      <w:fldChar w:fldCharType="separate"/>
    </w:r>
    <w:r>
      <w:t>DB 32/T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pPr>
    <w:r>
      <w:fldChar w:fldCharType="begin"/>
    </w:r>
    <w:r>
      <w:instrText xml:space="preserve"> STYLEREF  标准文件_文件编号 \* MERGEFORMAT </w:instrText>
    </w:r>
    <w:r>
      <w:fldChar w:fldCharType="separate"/>
    </w:r>
    <w:r>
      <w:t>DB 32/T XXXX—XXXX</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pPr>
    <w:r>
      <w:fldChar w:fldCharType="begin"/>
    </w:r>
    <w:r>
      <w:instrText xml:space="preserve"> STYLEREF  标准文件_文件编号  \* MERGEFORMAT </w:instrText>
    </w:r>
    <w:r>
      <w:fldChar w:fldCharType="separate"/>
    </w:r>
    <w:r>
      <w:t>DB 32/T XXXX—XXXX</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pPr>
    <w:r>
      <w:fldChar w:fldCharType="begin"/>
    </w:r>
    <w:r>
      <w:instrText xml:space="preserve"> STYLEREF  标准文件_文件编号 \* MERGEFORMAT </w:instrText>
    </w:r>
    <w:r>
      <w:fldChar w:fldCharType="separate"/>
    </w:r>
    <w:r>
      <w:t>DB 32/T XXXX—XXXX</w:t>
    </w:r>
    <w: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pPr>
    <w:r>
      <w:fldChar w:fldCharType="begin"/>
    </w:r>
    <w:r>
      <w:instrText xml:space="preserve"> STYLEREF  标准文件_文件编号  \* MERGEFORMAT </w:instrText>
    </w:r>
    <w:r>
      <w:fldChar w:fldCharType="separate"/>
    </w:r>
    <w:r>
      <w:t>DB 32/T XXXX—XXXX</w:t>
    </w:r>
    <w: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pPr>
    <w:r>
      <w:fldChar w:fldCharType="begin"/>
    </w:r>
    <w:r>
      <w:instrText xml:space="preserve"> STYLEREF  标准文件_文件编号 \* MERGEFORMAT </w:instrText>
    </w:r>
    <w:r>
      <w:fldChar w:fldCharType="separate"/>
    </w:r>
    <w:r>
      <w:t>DB 32/T XXXX—XXXX</w:t>
    </w:r>
    <w: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pPr>
    <w:r>
      <w:fldChar w:fldCharType="begin"/>
    </w:r>
    <w:r>
      <w:instrText xml:space="preserve"> STYLEREF  标准文件_文件编号  \* MERGEFORMAT </w:instrText>
    </w:r>
    <w:r>
      <w:fldChar w:fldCharType="separate"/>
    </w:r>
    <w:r>
      <w:t>DB 32/T XXXX—XXXX</w:t>
    </w:r>
    <w:r>
      <w:fldChar w:fldCharType="end"/>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pPr>
    <w:r>
      <w:fldChar w:fldCharType="begin"/>
    </w:r>
    <w:r>
      <w:instrText xml:space="preserve"> STYLEREF  标准文件_文件编号 \* MERGEFORMAT </w:instrText>
    </w:r>
    <w:r>
      <w:fldChar w:fldCharType="separate"/>
    </w:r>
    <w:r>
      <w:t>DB 32/T XXXX—XXXX</w:t>
    </w:r>
    <w:r>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pPr>
    <w:r>
      <w:fldChar w:fldCharType="begin"/>
    </w:r>
    <w:r>
      <w:instrText xml:space="preserve"> STYLEREF  标准文件_文件编号  \* MERGEFORMAT </w:instrText>
    </w:r>
    <w:r>
      <w:fldChar w:fldCharType="separate"/>
    </w:r>
    <w:r>
      <w:t>DB 32/T XXXX—XXXX</w:t>
    </w:r>
    <w:r>
      <w:fldChar w:fldCharType="end"/>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pPr>
    <w:r>
      <w:fldChar w:fldCharType="begin"/>
    </w:r>
    <w:r>
      <w:instrText xml:space="preserve"> STYLEREF  标准文件_文件编号 \* MERGEFORMAT </w:instrText>
    </w:r>
    <w:r>
      <w:fldChar w:fldCharType="separate"/>
    </w:r>
    <w:r>
      <w:t>DB 32/T XXXX—XXXX</w:t>
    </w:r>
    <w:r>
      <w:fldChar w:fldCharType="end"/>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pPr>
    <w:r>
      <w:fldChar w:fldCharType="begin"/>
    </w:r>
    <w:r>
      <w:instrText xml:space="preserve"> STYLEREF  标准文件_文件编号  \* MERGEFORMAT </w:instrText>
    </w:r>
    <w:r>
      <w:fldChar w:fldCharType="separate"/>
    </w:r>
    <w:r>
      <w:t>DB 32/T XXXX—XXXX</w:t>
    </w:r>
    <w:r>
      <w:fldChar w:fldCharType="end"/>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pPr>
    <w:r>
      <w:fldChar w:fldCharType="begin"/>
    </w:r>
    <w:r>
      <w:instrText xml:space="preserve"> STYLEREF  标准文件_文件编号 \* MERGEFORMAT </w:instrText>
    </w:r>
    <w:r>
      <w:fldChar w:fldCharType="separate"/>
    </w:r>
    <w:r>
      <w:t>DB 32/T XXXX—XXXX</w:t>
    </w:r>
    <w:r>
      <w:fldChar w:fldCharType="end"/>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pPr>
    <w:r>
      <w:fldChar w:fldCharType="begin"/>
    </w:r>
    <w:r>
      <w:instrText xml:space="preserve"> STYLEREF  标准文件_文件编号  \* MERGEFORMAT </w:instrText>
    </w:r>
    <w:r>
      <w:fldChar w:fldCharType="separate"/>
    </w:r>
    <w:r>
      <w:t>DB 32/T XXXX—XXXX</w:t>
    </w:r>
    <w:r>
      <w:fldChar w:fldCharType="end"/>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pPr>
    <w:r>
      <w:fldChar w:fldCharType="begin"/>
    </w:r>
    <w:r>
      <w:instrText xml:space="preserve"> STYLEREF  标准文件_文件编号 \* MERGEFORMAT </w:instrText>
    </w:r>
    <w:r>
      <w:fldChar w:fldCharType="separate"/>
    </w:r>
    <w:r>
      <w:t>DB 32/T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8"/>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3"/>
      <w:suff w:val="nothing"/>
      <w:lvlText w:val="%1%2.%3　"/>
      <w:lvlJc w:val="left"/>
      <w:pPr>
        <w:ind w:left="0" w:firstLine="0"/>
      </w:pPr>
    </w:lvl>
    <w:lvl w:ilvl="3" w:tentative="0">
      <w:start w:val="1"/>
      <w:numFmt w:val="decimal"/>
      <w:pStyle w:val="122"/>
      <w:suff w:val="nothing"/>
      <w:lvlText w:val="%1%2.%3.%4　"/>
      <w:lvlJc w:val="left"/>
      <w:pPr>
        <w:ind w:left="0" w:firstLine="0"/>
      </w:pPr>
    </w:lvl>
    <w:lvl w:ilvl="4" w:tentative="0">
      <w:start w:val="1"/>
      <w:numFmt w:val="decimal"/>
      <w:pStyle w:val="157"/>
      <w:suff w:val="nothing"/>
      <w:lvlText w:val="%1%2.%3.%4.%5　"/>
      <w:lvlJc w:val="left"/>
      <w:pPr>
        <w:ind w:left="0" w:firstLine="0"/>
      </w:pPr>
    </w:lvl>
    <w:lvl w:ilvl="5" w:tentative="0">
      <w:start w:val="1"/>
      <w:numFmt w:val="decimal"/>
      <w:pStyle w:val="159"/>
      <w:suff w:val="nothing"/>
      <w:lvlText w:val="%1%2.%3.%4.%5.%6　"/>
      <w:lvlJc w:val="left"/>
      <w:pPr>
        <w:ind w:left="0" w:firstLine="0"/>
      </w:pPr>
    </w:lvl>
    <w:lvl w:ilvl="6" w:tentative="0">
      <w:start w:val="1"/>
      <w:numFmt w:val="decimal"/>
      <w:pStyle w:val="162"/>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4"/>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3"/>
      <w:lvlText w:val="%1"/>
      <w:lvlJc w:val="left"/>
      <w:pPr>
        <w:ind w:left="425" w:hanging="425"/>
      </w:pPr>
      <w:rPr>
        <w:rFonts w:hint="eastAsia"/>
      </w:rPr>
    </w:lvl>
    <w:lvl w:ilvl="1" w:tentative="0">
      <w:start w:val="1"/>
      <w:numFmt w:val="decimal"/>
      <w:pStyle w:val="204"/>
      <w:suff w:val="nothing"/>
      <w:lvlText w:val="%10.%2 "/>
      <w:lvlJc w:val="left"/>
      <w:pPr>
        <w:ind w:left="0" w:firstLine="0"/>
      </w:pPr>
      <w:rPr>
        <w:rFonts w:hint="eastAsia" w:ascii="黑体" w:eastAsia="黑体" w:hAnsiTheme="minorHAnsi"/>
        <w:b w:val="0"/>
        <w:i w:val="0"/>
        <w:sz w:val="21"/>
      </w:rPr>
    </w:lvl>
    <w:lvl w:ilvl="2" w:tentative="0">
      <w:start w:val="1"/>
      <w:numFmt w:val="decimal"/>
      <w:pStyle w:val="205"/>
      <w:suff w:val="nothing"/>
      <w:lvlText w:val="%10.%2.%3 "/>
      <w:lvlJc w:val="left"/>
      <w:pPr>
        <w:ind w:left="0" w:firstLine="0"/>
      </w:pPr>
      <w:rPr>
        <w:rFonts w:hint="eastAsia" w:ascii="黑体" w:eastAsia="黑体" w:hAnsiTheme="minorHAnsi"/>
        <w:b w:val="0"/>
        <w:i w:val="0"/>
        <w:sz w:val="21"/>
      </w:rPr>
    </w:lvl>
    <w:lvl w:ilvl="3" w:tentative="0">
      <w:start w:val="1"/>
      <w:numFmt w:val="decimal"/>
      <w:pStyle w:val="206"/>
      <w:suff w:val="nothing"/>
      <w:lvlText w:val="%10.%2.%3.%4 "/>
      <w:lvlJc w:val="left"/>
      <w:pPr>
        <w:ind w:left="0" w:firstLine="0"/>
      </w:pPr>
      <w:rPr>
        <w:rFonts w:hint="eastAsia" w:ascii="黑体" w:eastAsia="黑体" w:hAnsiTheme="minorHAnsi"/>
        <w:b w:val="0"/>
        <w:i w:val="0"/>
        <w:sz w:val="21"/>
      </w:rPr>
    </w:lvl>
    <w:lvl w:ilvl="4" w:tentative="0">
      <w:start w:val="1"/>
      <w:numFmt w:val="decimal"/>
      <w:pStyle w:val="207"/>
      <w:suff w:val="nothing"/>
      <w:lvlText w:val="%10.%2.%3.%4.%5 "/>
      <w:lvlJc w:val="left"/>
      <w:pPr>
        <w:ind w:left="0" w:firstLine="0"/>
      </w:pPr>
      <w:rPr>
        <w:rFonts w:hint="eastAsia" w:ascii="黑体" w:eastAsia="黑体" w:hAnsiTheme="minorHAnsi"/>
        <w:b w:val="0"/>
        <w:i w:val="0"/>
        <w:sz w:val="21"/>
      </w:rPr>
    </w:lvl>
    <w:lvl w:ilvl="5" w:tentative="0">
      <w:start w:val="1"/>
      <w:numFmt w:val="decimal"/>
      <w:pStyle w:val="208"/>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5"/>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71"/>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3"/>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4"/>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9"/>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6"/>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6"/>
      <w:lvlText w:val="%1——"/>
      <w:lvlJc w:val="left"/>
      <w:pPr>
        <w:tabs>
          <w:tab w:val="left" w:pos="1134"/>
        </w:tabs>
        <w:ind w:left="1134" w:hanging="426"/>
      </w:pPr>
      <w:rPr>
        <w:rFonts w:hint="eastAsia" w:ascii="宋体" w:hAnsi="Times New Roman" w:eastAsia="宋体"/>
        <w:b w:val="0"/>
        <w:i w:val="0"/>
        <w:sz w:val="21"/>
      </w:rPr>
    </w:lvl>
    <w:lvl w:ilvl="1" w:tentative="0">
      <w:start w:val="1"/>
      <w:numFmt w:val="none"/>
      <w:pStyle w:val="191"/>
      <w:lvlText w:val=""/>
      <w:lvlJc w:val="left"/>
      <w:pPr>
        <w:ind w:left="851" w:hanging="431"/>
      </w:pPr>
      <w:rPr>
        <w:rFonts w:hint="default" w:ascii="Symbol" w:hAnsi="Symbol"/>
        <w:sz w:val="21"/>
      </w:rPr>
    </w:lvl>
    <w:lvl w:ilvl="2" w:tentative="0">
      <w:start w:val="1"/>
      <w:numFmt w:val="bullet"/>
      <w:pStyle w:val="176"/>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5"/>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8"/>
      <w:lvlText w:val="%1)"/>
      <w:lvlJc w:val="left"/>
      <w:pPr>
        <w:tabs>
          <w:tab w:val="left" w:pos="851"/>
        </w:tabs>
        <w:ind w:left="851" w:hanging="426"/>
      </w:pPr>
      <w:rPr>
        <w:rFonts w:hint="eastAsia" w:ascii="宋体" w:hAnsi="Times New Roman" w:eastAsia="宋体"/>
        <w:sz w:val="21"/>
      </w:rPr>
    </w:lvl>
    <w:lvl w:ilvl="1" w:tentative="0">
      <w:start w:val="1"/>
      <w:numFmt w:val="decimal"/>
      <w:pStyle w:val="113"/>
      <w:lvlText w:val="%2)"/>
      <w:lvlJc w:val="left"/>
      <w:pPr>
        <w:tabs>
          <w:tab w:val="left" w:pos="1276"/>
        </w:tabs>
        <w:ind w:left="1276" w:hanging="425"/>
      </w:pPr>
      <w:rPr>
        <w:rFonts w:hint="eastAsia" w:ascii="宋体" w:hAnsi="Times New Roman" w:eastAsia="宋体"/>
        <w:sz w:val="21"/>
      </w:rPr>
    </w:lvl>
    <w:lvl w:ilvl="2" w:tentative="0">
      <w:start w:val="1"/>
      <w:numFmt w:val="decimal"/>
      <w:pStyle w:val="121"/>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202"/>
      <w:lvlText w:val="%1"/>
      <w:lvlJc w:val="left"/>
      <w:pPr>
        <w:ind w:left="420" w:hanging="420"/>
      </w:pPr>
      <w:rPr>
        <w:rFonts w:hint="eastAsia"/>
      </w:rPr>
    </w:lvl>
    <w:lvl w:ilvl="1" w:tentative="0">
      <w:start w:val="1"/>
      <w:numFmt w:val="decimal"/>
      <w:pStyle w:val="87"/>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7"/>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20"/>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7"/>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8"/>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203"/>
      <w:suff w:val="space"/>
      <w:lvlText w:val="%1"/>
      <w:lvlJc w:val="left"/>
      <w:pPr>
        <w:ind w:left="425" w:hanging="425"/>
      </w:pPr>
      <w:rPr>
        <w:rFonts w:hint="eastAsia"/>
      </w:rPr>
    </w:lvl>
    <w:lvl w:ilvl="1" w:tentative="0">
      <w:start w:val="1"/>
      <w:numFmt w:val="decimal"/>
      <w:pStyle w:val="81"/>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5"/>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72"/>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6"/>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93"/>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80"/>
      <w:suff w:val="nothing"/>
      <w:lvlText w:val="附录%1"/>
      <w:lvlJc w:val="left"/>
      <w:pPr>
        <w:ind w:left="4253" w:firstLine="0"/>
      </w:pPr>
      <w:rPr>
        <w:rFonts w:hint="eastAsia"/>
        <w:spacing w:val="100"/>
      </w:rPr>
    </w:lvl>
    <w:lvl w:ilvl="1" w:tentative="0">
      <w:start w:val="1"/>
      <w:numFmt w:val="decimal"/>
      <w:pStyle w:val="82"/>
      <w:suff w:val="nothing"/>
      <w:lvlText w:val="%1.%2　"/>
      <w:lvlJc w:val="left"/>
      <w:pPr>
        <w:ind w:left="0" w:firstLine="0"/>
      </w:pPr>
      <w:rPr>
        <w:rFonts w:hint="eastAsia" w:ascii="黑体" w:eastAsia="黑体"/>
        <w:b w:val="0"/>
        <w:i w:val="0"/>
        <w:sz w:val="21"/>
      </w:rPr>
    </w:lvl>
    <w:lvl w:ilvl="2" w:tentative="0">
      <w:start w:val="1"/>
      <w:numFmt w:val="decimal"/>
      <w:pStyle w:val="83"/>
      <w:suff w:val="nothing"/>
      <w:lvlText w:val="%1.%2.%3　"/>
      <w:lvlJc w:val="left"/>
      <w:pPr>
        <w:ind w:left="0" w:firstLine="0"/>
      </w:pPr>
      <w:rPr>
        <w:rFonts w:hint="eastAsia" w:ascii="黑体" w:eastAsia="黑体"/>
        <w:b w:val="0"/>
        <w:i w:val="0"/>
        <w:sz w:val="21"/>
      </w:rPr>
    </w:lvl>
    <w:lvl w:ilvl="3" w:tentative="0">
      <w:start w:val="1"/>
      <w:numFmt w:val="decimal"/>
      <w:pStyle w:val="85"/>
      <w:suff w:val="nothing"/>
      <w:lvlText w:val="%1.%2.%3.%4　"/>
      <w:lvlJc w:val="left"/>
      <w:pPr>
        <w:ind w:left="0" w:firstLine="0"/>
      </w:pPr>
      <w:rPr>
        <w:rFonts w:hint="eastAsia" w:ascii="黑体" w:eastAsia="黑体"/>
        <w:b w:val="0"/>
        <w:i w:val="0"/>
        <w:sz w:val="21"/>
      </w:rPr>
    </w:lvl>
    <w:lvl w:ilvl="4" w:tentative="0">
      <w:start w:val="1"/>
      <w:numFmt w:val="decimal"/>
      <w:pStyle w:val="86"/>
      <w:suff w:val="nothing"/>
      <w:lvlText w:val="%1.%2.%3.%4.%5　"/>
      <w:lvlJc w:val="left"/>
      <w:pPr>
        <w:ind w:left="0" w:firstLine="0"/>
      </w:pPr>
      <w:rPr>
        <w:rFonts w:hint="eastAsia" w:ascii="黑体" w:eastAsia="黑体"/>
        <w:b w:val="0"/>
        <w:i w:val="0"/>
        <w:sz w:val="21"/>
      </w:rPr>
    </w:lvl>
    <w:lvl w:ilvl="5" w:tentative="0">
      <w:start w:val="1"/>
      <w:numFmt w:val="decimal"/>
      <w:pStyle w:val="88"/>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92"/>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101"/>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7"/>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6"/>
      <w:suff w:val="nothing"/>
      <w:lvlText w:val="%1"/>
      <w:lvlJc w:val="left"/>
      <w:pPr>
        <w:ind w:left="0" w:firstLine="0"/>
      </w:pPr>
      <w:rPr>
        <w:rFonts w:hint="eastAsia"/>
      </w:rPr>
    </w:lvl>
    <w:lvl w:ilvl="1" w:tentative="0">
      <w:start w:val="1"/>
      <w:numFmt w:val="decimal"/>
      <w:pStyle w:val="108"/>
      <w:suff w:val="nothing"/>
      <w:lvlText w:val="%1%2　"/>
      <w:lvlJc w:val="left"/>
      <w:pPr>
        <w:ind w:left="0" w:firstLine="0"/>
      </w:pPr>
      <w:rPr>
        <w:rFonts w:hint="eastAsia" w:ascii="黑体" w:eastAsia="黑体"/>
        <w:b w:val="0"/>
        <w:i w:val="0"/>
        <w:sz w:val="21"/>
      </w:rPr>
    </w:lvl>
    <w:lvl w:ilvl="2" w:tentative="0">
      <w:start w:val="1"/>
      <w:numFmt w:val="decimal"/>
      <w:pStyle w:val="109"/>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14:cntxtalts w14:val="0"/>
      </w:rPr>
    </w:lvl>
    <w:lvl w:ilvl="3" w:tentative="0">
      <w:start w:val="1"/>
      <w:numFmt w:val="decimal"/>
      <w:pStyle w:val="69"/>
      <w:suff w:val="nothing"/>
      <w:lvlText w:val="%1%2.%3.%4　"/>
      <w:lvlJc w:val="left"/>
      <w:pPr>
        <w:ind w:left="993" w:firstLine="0"/>
      </w:pPr>
      <w:rPr>
        <w:rFonts w:hint="eastAsia" w:ascii="黑体" w:eastAsia="黑体"/>
        <w:b w:val="0"/>
        <w:i w:val="0"/>
        <w:sz w:val="21"/>
      </w:rPr>
    </w:lvl>
    <w:lvl w:ilvl="4" w:tentative="0">
      <w:start w:val="1"/>
      <w:numFmt w:val="decimal"/>
      <w:pStyle w:val="98"/>
      <w:suff w:val="nothing"/>
      <w:lvlText w:val="%1%2.%3.%4.%5　"/>
      <w:lvlJc w:val="left"/>
      <w:pPr>
        <w:ind w:left="1985" w:firstLine="0"/>
      </w:pPr>
      <w:rPr>
        <w:rFonts w:hint="eastAsia" w:ascii="黑体" w:eastAsia="黑体"/>
        <w:b w:val="0"/>
        <w:i w:val="0"/>
        <w:sz w:val="21"/>
      </w:rPr>
    </w:lvl>
    <w:lvl w:ilvl="5" w:tentative="0">
      <w:start w:val="1"/>
      <w:numFmt w:val="decimal"/>
      <w:pStyle w:val="102"/>
      <w:suff w:val="nothing"/>
      <w:lvlText w:val="%1%2.%3.%4.%5.%6　"/>
      <w:lvlJc w:val="left"/>
      <w:pPr>
        <w:ind w:left="0" w:firstLine="0"/>
      </w:pPr>
      <w:rPr>
        <w:rFonts w:hint="eastAsia" w:ascii="黑体" w:eastAsia="黑体"/>
        <w:b w:val="0"/>
        <w:i w:val="0"/>
        <w:sz w:val="21"/>
      </w:rPr>
    </w:lvl>
    <w:lvl w:ilvl="6" w:tentative="0">
      <w:start w:val="1"/>
      <w:numFmt w:val="decimal"/>
      <w:pStyle w:val="107"/>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83"/>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9"/>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43"/>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true"/>
  <w:bordersDoNotSurroundFooter w:val="true"/>
  <w:attachedTemplate r:id="rId1"/>
  <w:documentProtection w:edit="forms" w:enforcement="0"/>
  <w:defaultTabStop w:val="420"/>
  <w:evenAndOddHeaders w:val="true"/>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xNjawMDUytDQzNTY2t7RQ0lEKTi0uzszPAykwNK4FAPIwOxItAAAA"/>
  </w:docVars>
  <w:rsids>
    <w:rsidRoot w:val="00C414D2"/>
    <w:rsid w:val="000001FC"/>
    <w:rsid w:val="0000040A"/>
    <w:rsid w:val="00000A94"/>
    <w:rsid w:val="00001972"/>
    <w:rsid w:val="00001D9A"/>
    <w:rsid w:val="00001FA0"/>
    <w:rsid w:val="00005BA0"/>
    <w:rsid w:val="00007B3A"/>
    <w:rsid w:val="00007B6C"/>
    <w:rsid w:val="00010034"/>
    <w:rsid w:val="000107E0"/>
    <w:rsid w:val="00011FDE"/>
    <w:rsid w:val="00012FFD"/>
    <w:rsid w:val="00013527"/>
    <w:rsid w:val="00014162"/>
    <w:rsid w:val="00014340"/>
    <w:rsid w:val="00014774"/>
    <w:rsid w:val="00016A9C"/>
    <w:rsid w:val="000214E7"/>
    <w:rsid w:val="00022184"/>
    <w:rsid w:val="00022762"/>
    <w:rsid w:val="000228C7"/>
    <w:rsid w:val="000238E0"/>
    <w:rsid w:val="000249DB"/>
    <w:rsid w:val="000257EA"/>
    <w:rsid w:val="0002595E"/>
    <w:rsid w:val="00027685"/>
    <w:rsid w:val="000303C3"/>
    <w:rsid w:val="00031F2B"/>
    <w:rsid w:val="0003209D"/>
    <w:rsid w:val="00032679"/>
    <w:rsid w:val="000331D3"/>
    <w:rsid w:val="000346A5"/>
    <w:rsid w:val="000359C3"/>
    <w:rsid w:val="00035A7D"/>
    <w:rsid w:val="000365ED"/>
    <w:rsid w:val="00040594"/>
    <w:rsid w:val="0004249A"/>
    <w:rsid w:val="00043282"/>
    <w:rsid w:val="00044286"/>
    <w:rsid w:val="000447CC"/>
    <w:rsid w:val="00046F89"/>
    <w:rsid w:val="0004741E"/>
    <w:rsid w:val="00047F28"/>
    <w:rsid w:val="000503AA"/>
    <w:rsid w:val="000506A1"/>
    <w:rsid w:val="000515DD"/>
    <w:rsid w:val="0005265A"/>
    <w:rsid w:val="00052DFE"/>
    <w:rsid w:val="000539DD"/>
    <w:rsid w:val="00053BD3"/>
    <w:rsid w:val="000556ED"/>
    <w:rsid w:val="00055FE2"/>
    <w:rsid w:val="0005616F"/>
    <w:rsid w:val="00057393"/>
    <w:rsid w:val="000605FF"/>
    <w:rsid w:val="00060C2E"/>
    <w:rsid w:val="00061033"/>
    <w:rsid w:val="000619E9"/>
    <w:rsid w:val="000622D4"/>
    <w:rsid w:val="0006357D"/>
    <w:rsid w:val="00064EC5"/>
    <w:rsid w:val="00067F1E"/>
    <w:rsid w:val="000702B3"/>
    <w:rsid w:val="00070F0A"/>
    <w:rsid w:val="00071CC0"/>
    <w:rsid w:val="000722D7"/>
    <w:rsid w:val="00073C8C"/>
    <w:rsid w:val="00075612"/>
    <w:rsid w:val="00076B2C"/>
    <w:rsid w:val="000775CB"/>
    <w:rsid w:val="00077B64"/>
    <w:rsid w:val="00080A1C"/>
    <w:rsid w:val="00082317"/>
    <w:rsid w:val="0008331E"/>
    <w:rsid w:val="00083D2C"/>
    <w:rsid w:val="00084C2D"/>
    <w:rsid w:val="0008636A"/>
    <w:rsid w:val="000868BB"/>
    <w:rsid w:val="00086AA1"/>
    <w:rsid w:val="00087A77"/>
    <w:rsid w:val="00090BF5"/>
    <w:rsid w:val="00090CA6"/>
    <w:rsid w:val="00092B8A"/>
    <w:rsid w:val="00092FB0"/>
    <w:rsid w:val="000934C5"/>
    <w:rsid w:val="00093D25"/>
    <w:rsid w:val="00093DAB"/>
    <w:rsid w:val="00094D73"/>
    <w:rsid w:val="000961B2"/>
    <w:rsid w:val="000963C6"/>
    <w:rsid w:val="00096D63"/>
    <w:rsid w:val="000A0956"/>
    <w:rsid w:val="000A0B60"/>
    <w:rsid w:val="000A0EB8"/>
    <w:rsid w:val="000A19FC"/>
    <w:rsid w:val="000A229E"/>
    <w:rsid w:val="000A296B"/>
    <w:rsid w:val="000A7311"/>
    <w:rsid w:val="000B060F"/>
    <w:rsid w:val="000B0EFA"/>
    <w:rsid w:val="000B1592"/>
    <w:rsid w:val="000B1FF2"/>
    <w:rsid w:val="000B3CDA"/>
    <w:rsid w:val="000B6A0B"/>
    <w:rsid w:val="000C0F6C"/>
    <w:rsid w:val="000C11DB"/>
    <w:rsid w:val="000C1492"/>
    <w:rsid w:val="000C2FBD"/>
    <w:rsid w:val="000C4B41"/>
    <w:rsid w:val="000C57D6"/>
    <w:rsid w:val="000C6362"/>
    <w:rsid w:val="000C7666"/>
    <w:rsid w:val="000D0A9C"/>
    <w:rsid w:val="000D0BA3"/>
    <w:rsid w:val="000D1795"/>
    <w:rsid w:val="000D28EE"/>
    <w:rsid w:val="000D329A"/>
    <w:rsid w:val="000D3716"/>
    <w:rsid w:val="000D3BBA"/>
    <w:rsid w:val="000D3DAC"/>
    <w:rsid w:val="000D4B9C"/>
    <w:rsid w:val="000D4EB6"/>
    <w:rsid w:val="000D4EEF"/>
    <w:rsid w:val="000D753B"/>
    <w:rsid w:val="000E4C9E"/>
    <w:rsid w:val="000E6F98"/>
    <w:rsid w:val="000E6FD7"/>
    <w:rsid w:val="000F06E1"/>
    <w:rsid w:val="000F07B0"/>
    <w:rsid w:val="000F0E3C"/>
    <w:rsid w:val="000F19D5"/>
    <w:rsid w:val="000F3271"/>
    <w:rsid w:val="000F4AEA"/>
    <w:rsid w:val="000F52AC"/>
    <w:rsid w:val="000F633F"/>
    <w:rsid w:val="000F67E9"/>
    <w:rsid w:val="000F754C"/>
    <w:rsid w:val="00102167"/>
    <w:rsid w:val="001025CA"/>
    <w:rsid w:val="00104926"/>
    <w:rsid w:val="001066FB"/>
    <w:rsid w:val="00106F93"/>
    <w:rsid w:val="0010722E"/>
    <w:rsid w:val="00111E74"/>
    <w:rsid w:val="0011384E"/>
    <w:rsid w:val="00113B1E"/>
    <w:rsid w:val="0011711C"/>
    <w:rsid w:val="00117135"/>
    <w:rsid w:val="0012059C"/>
    <w:rsid w:val="0012142E"/>
    <w:rsid w:val="0012149C"/>
    <w:rsid w:val="00124E4F"/>
    <w:rsid w:val="001260B7"/>
    <w:rsid w:val="001265CB"/>
    <w:rsid w:val="00127932"/>
    <w:rsid w:val="0013174C"/>
    <w:rsid w:val="001321C6"/>
    <w:rsid w:val="001325C4"/>
    <w:rsid w:val="00133010"/>
    <w:rsid w:val="001338EE"/>
    <w:rsid w:val="00133AAE"/>
    <w:rsid w:val="00133F17"/>
    <w:rsid w:val="00135323"/>
    <w:rsid w:val="001356C4"/>
    <w:rsid w:val="00141114"/>
    <w:rsid w:val="0014119E"/>
    <w:rsid w:val="00142969"/>
    <w:rsid w:val="00143CAA"/>
    <w:rsid w:val="001446C2"/>
    <w:rsid w:val="001450F1"/>
    <w:rsid w:val="001457E7"/>
    <w:rsid w:val="00145D9D"/>
    <w:rsid w:val="00146388"/>
    <w:rsid w:val="00146B93"/>
    <w:rsid w:val="001529E5"/>
    <w:rsid w:val="00153C7E"/>
    <w:rsid w:val="001568D0"/>
    <w:rsid w:val="00156B25"/>
    <w:rsid w:val="00156E1A"/>
    <w:rsid w:val="00157894"/>
    <w:rsid w:val="00157B55"/>
    <w:rsid w:val="001618AD"/>
    <w:rsid w:val="001619C3"/>
    <w:rsid w:val="00163A9E"/>
    <w:rsid w:val="001642FA"/>
    <w:rsid w:val="001649EB"/>
    <w:rsid w:val="00164BAF"/>
    <w:rsid w:val="00164FA8"/>
    <w:rsid w:val="00165065"/>
    <w:rsid w:val="00165434"/>
    <w:rsid w:val="0016580B"/>
    <w:rsid w:val="00165F49"/>
    <w:rsid w:val="00166B88"/>
    <w:rsid w:val="0016770A"/>
    <w:rsid w:val="00167785"/>
    <w:rsid w:val="00170804"/>
    <w:rsid w:val="001708E9"/>
    <w:rsid w:val="00172C7F"/>
    <w:rsid w:val="0017340B"/>
    <w:rsid w:val="00173FB1"/>
    <w:rsid w:val="001742EB"/>
    <w:rsid w:val="00176DFD"/>
    <w:rsid w:val="00177387"/>
    <w:rsid w:val="001813DC"/>
    <w:rsid w:val="0018204C"/>
    <w:rsid w:val="001824E7"/>
    <w:rsid w:val="001852C9"/>
    <w:rsid w:val="00186DCA"/>
    <w:rsid w:val="00186FDF"/>
    <w:rsid w:val="001875E8"/>
    <w:rsid w:val="00190087"/>
    <w:rsid w:val="001913C4"/>
    <w:rsid w:val="0019348F"/>
    <w:rsid w:val="00193A07"/>
    <w:rsid w:val="00194C95"/>
    <w:rsid w:val="00195C23"/>
    <w:rsid w:val="00195C34"/>
    <w:rsid w:val="00196EF5"/>
    <w:rsid w:val="0019734A"/>
    <w:rsid w:val="001979BB"/>
    <w:rsid w:val="00197B79"/>
    <w:rsid w:val="001A1A53"/>
    <w:rsid w:val="001A234A"/>
    <w:rsid w:val="001A2D63"/>
    <w:rsid w:val="001A3FF4"/>
    <w:rsid w:val="001A4CF3"/>
    <w:rsid w:val="001A61BD"/>
    <w:rsid w:val="001A6A30"/>
    <w:rsid w:val="001B06E8"/>
    <w:rsid w:val="001B0852"/>
    <w:rsid w:val="001B71D0"/>
    <w:rsid w:val="001B71EE"/>
    <w:rsid w:val="001B7969"/>
    <w:rsid w:val="001C04A8"/>
    <w:rsid w:val="001C1D3F"/>
    <w:rsid w:val="001C20C1"/>
    <w:rsid w:val="001C26C6"/>
    <w:rsid w:val="001C2C03"/>
    <w:rsid w:val="001C42F7"/>
    <w:rsid w:val="001C4846"/>
    <w:rsid w:val="001C49E5"/>
    <w:rsid w:val="001C680C"/>
    <w:rsid w:val="001C7441"/>
    <w:rsid w:val="001C7FEA"/>
    <w:rsid w:val="001D0499"/>
    <w:rsid w:val="001D0BBE"/>
    <w:rsid w:val="001D0ED4"/>
    <w:rsid w:val="001D212F"/>
    <w:rsid w:val="001D29D7"/>
    <w:rsid w:val="001D2DE7"/>
    <w:rsid w:val="001D3BB3"/>
    <w:rsid w:val="001D411C"/>
    <w:rsid w:val="001E033C"/>
    <w:rsid w:val="001E1B6A"/>
    <w:rsid w:val="001E2484"/>
    <w:rsid w:val="001E3CC4"/>
    <w:rsid w:val="001E4882"/>
    <w:rsid w:val="001E73AB"/>
    <w:rsid w:val="001F092D"/>
    <w:rsid w:val="001F143A"/>
    <w:rsid w:val="001F1605"/>
    <w:rsid w:val="001F2508"/>
    <w:rsid w:val="001F2FAA"/>
    <w:rsid w:val="001F479F"/>
    <w:rsid w:val="001F4816"/>
    <w:rsid w:val="001F48BE"/>
    <w:rsid w:val="001F4EE9"/>
    <w:rsid w:val="001F60E4"/>
    <w:rsid w:val="001F69B4"/>
    <w:rsid w:val="001F77C7"/>
    <w:rsid w:val="00200183"/>
    <w:rsid w:val="00200333"/>
    <w:rsid w:val="002004A0"/>
    <w:rsid w:val="0020107D"/>
    <w:rsid w:val="00201B38"/>
    <w:rsid w:val="00201E09"/>
    <w:rsid w:val="00202AA4"/>
    <w:rsid w:val="002031F7"/>
    <w:rsid w:val="002040E6"/>
    <w:rsid w:val="0020527B"/>
    <w:rsid w:val="00205573"/>
    <w:rsid w:val="00205F2C"/>
    <w:rsid w:val="002078E2"/>
    <w:rsid w:val="00210B15"/>
    <w:rsid w:val="00211C11"/>
    <w:rsid w:val="002142EA"/>
    <w:rsid w:val="00215A88"/>
    <w:rsid w:val="002204BB"/>
    <w:rsid w:val="00220862"/>
    <w:rsid w:val="00221B79"/>
    <w:rsid w:val="00221C6B"/>
    <w:rsid w:val="00224ACC"/>
    <w:rsid w:val="002253A1"/>
    <w:rsid w:val="00225C45"/>
    <w:rsid w:val="00225CF8"/>
    <w:rsid w:val="00226824"/>
    <w:rsid w:val="0022794E"/>
    <w:rsid w:val="00230D24"/>
    <w:rsid w:val="0023357D"/>
    <w:rsid w:val="00233D64"/>
    <w:rsid w:val="0023482A"/>
    <w:rsid w:val="00234961"/>
    <w:rsid w:val="00234B00"/>
    <w:rsid w:val="002359CB"/>
    <w:rsid w:val="00243540"/>
    <w:rsid w:val="00243AF2"/>
    <w:rsid w:val="0024497B"/>
    <w:rsid w:val="00244FAA"/>
    <w:rsid w:val="0024515B"/>
    <w:rsid w:val="00246021"/>
    <w:rsid w:val="00246631"/>
    <w:rsid w:val="0024666E"/>
    <w:rsid w:val="00246FA2"/>
    <w:rsid w:val="00247428"/>
    <w:rsid w:val="00247F52"/>
    <w:rsid w:val="00250B25"/>
    <w:rsid w:val="00250BBE"/>
    <w:rsid w:val="00250F31"/>
    <w:rsid w:val="002515C2"/>
    <w:rsid w:val="0025194F"/>
    <w:rsid w:val="00253803"/>
    <w:rsid w:val="002556B5"/>
    <w:rsid w:val="00257878"/>
    <w:rsid w:val="0026148A"/>
    <w:rsid w:val="00262696"/>
    <w:rsid w:val="00263049"/>
    <w:rsid w:val="00263D25"/>
    <w:rsid w:val="002643C3"/>
    <w:rsid w:val="00264A0C"/>
    <w:rsid w:val="0026571A"/>
    <w:rsid w:val="00265E5A"/>
    <w:rsid w:val="002661F0"/>
    <w:rsid w:val="00266EEB"/>
    <w:rsid w:val="00267EF4"/>
    <w:rsid w:val="00270CB8"/>
    <w:rsid w:val="00271AC7"/>
    <w:rsid w:val="00272B08"/>
    <w:rsid w:val="00273072"/>
    <w:rsid w:val="00275ED6"/>
    <w:rsid w:val="002771AC"/>
    <w:rsid w:val="00277AAE"/>
    <w:rsid w:val="00277E4A"/>
    <w:rsid w:val="00281347"/>
    <w:rsid w:val="00281BB8"/>
    <w:rsid w:val="00281E9E"/>
    <w:rsid w:val="002821DA"/>
    <w:rsid w:val="00282405"/>
    <w:rsid w:val="00283640"/>
    <w:rsid w:val="00283B76"/>
    <w:rsid w:val="0028404F"/>
    <w:rsid w:val="00285170"/>
    <w:rsid w:val="00285361"/>
    <w:rsid w:val="00285B68"/>
    <w:rsid w:val="00290094"/>
    <w:rsid w:val="0029085C"/>
    <w:rsid w:val="002913C9"/>
    <w:rsid w:val="00291EA7"/>
    <w:rsid w:val="00292D60"/>
    <w:rsid w:val="00293B30"/>
    <w:rsid w:val="00294D34"/>
    <w:rsid w:val="00294E3B"/>
    <w:rsid w:val="00296193"/>
    <w:rsid w:val="00296C66"/>
    <w:rsid w:val="00296EBE"/>
    <w:rsid w:val="002974E3"/>
    <w:rsid w:val="002A084B"/>
    <w:rsid w:val="002A1127"/>
    <w:rsid w:val="002A1260"/>
    <w:rsid w:val="002A1589"/>
    <w:rsid w:val="002A1608"/>
    <w:rsid w:val="002A25DC"/>
    <w:rsid w:val="002A3AAB"/>
    <w:rsid w:val="002A4B77"/>
    <w:rsid w:val="002A4CEA"/>
    <w:rsid w:val="002A4CED"/>
    <w:rsid w:val="002A574B"/>
    <w:rsid w:val="002A5977"/>
    <w:rsid w:val="002A5A13"/>
    <w:rsid w:val="002A6E87"/>
    <w:rsid w:val="002A757F"/>
    <w:rsid w:val="002A7F44"/>
    <w:rsid w:val="002B0148"/>
    <w:rsid w:val="002B0C40"/>
    <w:rsid w:val="002B1966"/>
    <w:rsid w:val="002B1D8E"/>
    <w:rsid w:val="002B4508"/>
    <w:rsid w:val="002B5779"/>
    <w:rsid w:val="002B5C80"/>
    <w:rsid w:val="002B7332"/>
    <w:rsid w:val="002B7F51"/>
    <w:rsid w:val="002C09E7"/>
    <w:rsid w:val="002C1E06"/>
    <w:rsid w:val="002C1E1C"/>
    <w:rsid w:val="002C3422"/>
    <w:rsid w:val="002C3E56"/>
    <w:rsid w:val="002C3F07"/>
    <w:rsid w:val="002C5278"/>
    <w:rsid w:val="002C5821"/>
    <w:rsid w:val="002C58B5"/>
    <w:rsid w:val="002C7820"/>
    <w:rsid w:val="002C7EBB"/>
    <w:rsid w:val="002D06C1"/>
    <w:rsid w:val="002D2EBB"/>
    <w:rsid w:val="002D362D"/>
    <w:rsid w:val="002D42B5"/>
    <w:rsid w:val="002D44AC"/>
    <w:rsid w:val="002D4F1A"/>
    <w:rsid w:val="002D63F7"/>
    <w:rsid w:val="002D6EC6"/>
    <w:rsid w:val="002D79AC"/>
    <w:rsid w:val="002E039D"/>
    <w:rsid w:val="002E079E"/>
    <w:rsid w:val="002E1771"/>
    <w:rsid w:val="002E4D5A"/>
    <w:rsid w:val="002E4F2C"/>
    <w:rsid w:val="002E6326"/>
    <w:rsid w:val="002F111C"/>
    <w:rsid w:val="002F30E0"/>
    <w:rsid w:val="002F35E4"/>
    <w:rsid w:val="002F3730"/>
    <w:rsid w:val="002F38E1"/>
    <w:rsid w:val="002F4776"/>
    <w:rsid w:val="002F732D"/>
    <w:rsid w:val="002F7AF6"/>
    <w:rsid w:val="00300E63"/>
    <w:rsid w:val="0030296C"/>
    <w:rsid w:val="00302F35"/>
    <w:rsid w:val="00302F5F"/>
    <w:rsid w:val="00303DFE"/>
    <w:rsid w:val="0030441D"/>
    <w:rsid w:val="00304619"/>
    <w:rsid w:val="00305556"/>
    <w:rsid w:val="00306063"/>
    <w:rsid w:val="00306B03"/>
    <w:rsid w:val="00312DC5"/>
    <w:rsid w:val="00313B85"/>
    <w:rsid w:val="00317988"/>
    <w:rsid w:val="003221B4"/>
    <w:rsid w:val="0032258D"/>
    <w:rsid w:val="00322E62"/>
    <w:rsid w:val="00323F64"/>
    <w:rsid w:val="00324D13"/>
    <w:rsid w:val="00324D2A"/>
    <w:rsid w:val="00324EDD"/>
    <w:rsid w:val="00332573"/>
    <w:rsid w:val="003331E4"/>
    <w:rsid w:val="00334EFC"/>
    <w:rsid w:val="00336C64"/>
    <w:rsid w:val="00337162"/>
    <w:rsid w:val="0034194F"/>
    <w:rsid w:val="003430B9"/>
    <w:rsid w:val="00343FF1"/>
    <w:rsid w:val="00344605"/>
    <w:rsid w:val="003474AA"/>
    <w:rsid w:val="00347F7B"/>
    <w:rsid w:val="00350D1D"/>
    <w:rsid w:val="00352C83"/>
    <w:rsid w:val="00353A17"/>
    <w:rsid w:val="003563CF"/>
    <w:rsid w:val="003610BA"/>
    <w:rsid w:val="003615D2"/>
    <w:rsid w:val="00362DB0"/>
    <w:rsid w:val="0036429C"/>
    <w:rsid w:val="00364A53"/>
    <w:rsid w:val="003654CB"/>
    <w:rsid w:val="00365AA9"/>
    <w:rsid w:val="00365F86"/>
    <w:rsid w:val="00365F87"/>
    <w:rsid w:val="00366E89"/>
    <w:rsid w:val="003705F4"/>
    <w:rsid w:val="00370D58"/>
    <w:rsid w:val="00371188"/>
    <w:rsid w:val="00371316"/>
    <w:rsid w:val="003729AF"/>
    <w:rsid w:val="0037302B"/>
    <w:rsid w:val="0037319F"/>
    <w:rsid w:val="00376713"/>
    <w:rsid w:val="003779F5"/>
    <w:rsid w:val="003801C1"/>
    <w:rsid w:val="00381815"/>
    <w:rsid w:val="003818C1"/>
    <w:rsid w:val="003819AF"/>
    <w:rsid w:val="003820E9"/>
    <w:rsid w:val="00382DE7"/>
    <w:rsid w:val="00383F99"/>
    <w:rsid w:val="00384FFC"/>
    <w:rsid w:val="003872FC"/>
    <w:rsid w:val="00387ADC"/>
    <w:rsid w:val="00390020"/>
    <w:rsid w:val="0039038C"/>
    <w:rsid w:val="003903D6"/>
    <w:rsid w:val="00390484"/>
    <w:rsid w:val="00390EE6"/>
    <w:rsid w:val="0039118F"/>
    <w:rsid w:val="00392AD7"/>
    <w:rsid w:val="003938D9"/>
    <w:rsid w:val="00394376"/>
    <w:rsid w:val="003943FF"/>
    <w:rsid w:val="00395700"/>
    <w:rsid w:val="00395BD7"/>
    <w:rsid w:val="00395D5D"/>
    <w:rsid w:val="00396117"/>
    <w:rsid w:val="003974EB"/>
    <w:rsid w:val="00397CC5"/>
    <w:rsid w:val="003A1582"/>
    <w:rsid w:val="003A1C1A"/>
    <w:rsid w:val="003A248B"/>
    <w:rsid w:val="003A4077"/>
    <w:rsid w:val="003A5FED"/>
    <w:rsid w:val="003B09AD"/>
    <w:rsid w:val="003B1F18"/>
    <w:rsid w:val="003B20DB"/>
    <w:rsid w:val="003B5BF0"/>
    <w:rsid w:val="003B60BF"/>
    <w:rsid w:val="003B6BE3"/>
    <w:rsid w:val="003B6C1B"/>
    <w:rsid w:val="003C010C"/>
    <w:rsid w:val="003C0A6C"/>
    <w:rsid w:val="003C14F8"/>
    <w:rsid w:val="003C2B5F"/>
    <w:rsid w:val="003C5A43"/>
    <w:rsid w:val="003C6F6E"/>
    <w:rsid w:val="003D0519"/>
    <w:rsid w:val="003D0FF6"/>
    <w:rsid w:val="003D262C"/>
    <w:rsid w:val="003D3436"/>
    <w:rsid w:val="003D60F8"/>
    <w:rsid w:val="003D6D61"/>
    <w:rsid w:val="003D70CF"/>
    <w:rsid w:val="003D79C6"/>
    <w:rsid w:val="003E091D"/>
    <w:rsid w:val="003E1C53"/>
    <w:rsid w:val="003E2A69"/>
    <w:rsid w:val="003E2D49"/>
    <w:rsid w:val="003E2FD4"/>
    <w:rsid w:val="003E3364"/>
    <w:rsid w:val="003E49F6"/>
    <w:rsid w:val="003E4BDD"/>
    <w:rsid w:val="003E5A6D"/>
    <w:rsid w:val="003E660F"/>
    <w:rsid w:val="003F0841"/>
    <w:rsid w:val="003F1C75"/>
    <w:rsid w:val="003F2076"/>
    <w:rsid w:val="003F23D3"/>
    <w:rsid w:val="003F27FD"/>
    <w:rsid w:val="003F3F08"/>
    <w:rsid w:val="003F49F1"/>
    <w:rsid w:val="003F6272"/>
    <w:rsid w:val="003F63D7"/>
    <w:rsid w:val="00400E72"/>
    <w:rsid w:val="00401400"/>
    <w:rsid w:val="00404869"/>
    <w:rsid w:val="00405884"/>
    <w:rsid w:val="00405ECF"/>
    <w:rsid w:val="00407AF2"/>
    <w:rsid w:val="00407D39"/>
    <w:rsid w:val="004115F7"/>
    <w:rsid w:val="00413CCD"/>
    <w:rsid w:val="0041477A"/>
    <w:rsid w:val="00415139"/>
    <w:rsid w:val="004167A3"/>
    <w:rsid w:val="004174C5"/>
    <w:rsid w:val="00421726"/>
    <w:rsid w:val="00422A4C"/>
    <w:rsid w:val="00422FF7"/>
    <w:rsid w:val="004263BD"/>
    <w:rsid w:val="00427F7A"/>
    <w:rsid w:val="00432DAA"/>
    <w:rsid w:val="00434059"/>
    <w:rsid w:val="00434305"/>
    <w:rsid w:val="0043443A"/>
    <w:rsid w:val="00434809"/>
    <w:rsid w:val="00435DF7"/>
    <w:rsid w:val="0043705A"/>
    <w:rsid w:val="0044083F"/>
    <w:rsid w:val="00441AE7"/>
    <w:rsid w:val="00441DFC"/>
    <w:rsid w:val="00445574"/>
    <w:rsid w:val="004467FB"/>
    <w:rsid w:val="00450CD2"/>
    <w:rsid w:val="0045221D"/>
    <w:rsid w:val="00452D6B"/>
    <w:rsid w:val="00454484"/>
    <w:rsid w:val="0045517B"/>
    <w:rsid w:val="0045590A"/>
    <w:rsid w:val="00461422"/>
    <w:rsid w:val="00461714"/>
    <w:rsid w:val="00463B77"/>
    <w:rsid w:val="00463C7B"/>
    <w:rsid w:val="004644A6"/>
    <w:rsid w:val="00464DF7"/>
    <w:rsid w:val="004659BD"/>
    <w:rsid w:val="00470775"/>
    <w:rsid w:val="004731B3"/>
    <w:rsid w:val="004746B1"/>
    <w:rsid w:val="0047583F"/>
    <w:rsid w:val="00475DE8"/>
    <w:rsid w:val="00476089"/>
    <w:rsid w:val="00480B2D"/>
    <w:rsid w:val="00481988"/>
    <w:rsid w:val="00481C44"/>
    <w:rsid w:val="004835C0"/>
    <w:rsid w:val="004841E6"/>
    <w:rsid w:val="00484936"/>
    <w:rsid w:val="00485C89"/>
    <w:rsid w:val="00486BE3"/>
    <w:rsid w:val="004905E4"/>
    <w:rsid w:val="00490A89"/>
    <w:rsid w:val="00490AB4"/>
    <w:rsid w:val="00492F02"/>
    <w:rsid w:val="004939AE"/>
    <w:rsid w:val="0049406D"/>
    <w:rsid w:val="00494ED1"/>
    <w:rsid w:val="00495120"/>
    <w:rsid w:val="00495C9A"/>
    <w:rsid w:val="004968E3"/>
    <w:rsid w:val="004A0149"/>
    <w:rsid w:val="004A0D8C"/>
    <w:rsid w:val="004A12DF"/>
    <w:rsid w:val="004A17E6"/>
    <w:rsid w:val="004A1BA8"/>
    <w:rsid w:val="004A1FA6"/>
    <w:rsid w:val="004A2AFE"/>
    <w:rsid w:val="004A48D5"/>
    <w:rsid w:val="004A4B57"/>
    <w:rsid w:val="004A63FA"/>
    <w:rsid w:val="004B0272"/>
    <w:rsid w:val="004B2701"/>
    <w:rsid w:val="004B2E1B"/>
    <w:rsid w:val="004B337C"/>
    <w:rsid w:val="004B3AA8"/>
    <w:rsid w:val="004B3E93"/>
    <w:rsid w:val="004B551E"/>
    <w:rsid w:val="004C1FBC"/>
    <w:rsid w:val="004C2219"/>
    <w:rsid w:val="004C2D39"/>
    <w:rsid w:val="004C3F1D"/>
    <w:rsid w:val="004C458D"/>
    <w:rsid w:val="004C7556"/>
    <w:rsid w:val="004C7E8B"/>
    <w:rsid w:val="004C7E9D"/>
    <w:rsid w:val="004C7F67"/>
    <w:rsid w:val="004D076D"/>
    <w:rsid w:val="004D0EF1"/>
    <w:rsid w:val="004D19ED"/>
    <w:rsid w:val="004D2253"/>
    <w:rsid w:val="004D4406"/>
    <w:rsid w:val="004D4FCB"/>
    <w:rsid w:val="004D68DC"/>
    <w:rsid w:val="004D7C42"/>
    <w:rsid w:val="004E0465"/>
    <w:rsid w:val="004E127B"/>
    <w:rsid w:val="004E1C0A"/>
    <w:rsid w:val="004E2B06"/>
    <w:rsid w:val="004E30C5"/>
    <w:rsid w:val="004E34CB"/>
    <w:rsid w:val="004E4AA5"/>
    <w:rsid w:val="004E4AEE"/>
    <w:rsid w:val="004E59E3"/>
    <w:rsid w:val="004E67C0"/>
    <w:rsid w:val="004F17E0"/>
    <w:rsid w:val="004F222F"/>
    <w:rsid w:val="004F391A"/>
    <w:rsid w:val="004F3CFB"/>
    <w:rsid w:val="004F5B35"/>
    <w:rsid w:val="004F6456"/>
    <w:rsid w:val="004F696E"/>
    <w:rsid w:val="004F6C71"/>
    <w:rsid w:val="0050037A"/>
    <w:rsid w:val="00501139"/>
    <w:rsid w:val="0050363E"/>
    <w:rsid w:val="005039BC"/>
    <w:rsid w:val="005043BB"/>
    <w:rsid w:val="00504A3D"/>
    <w:rsid w:val="00505767"/>
    <w:rsid w:val="005073F0"/>
    <w:rsid w:val="00510A7B"/>
    <w:rsid w:val="00512F6E"/>
    <w:rsid w:val="00513038"/>
    <w:rsid w:val="0051372F"/>
    <w:rsid w:val="00514174"/>
    <w:rsid w:val="00514B7E"/>
    <w:rsid w:val="00516088"/>
    <w:rsid w:val="00516B0B"/>
    <w:rsid w:val="005220EC"/>
    <w:rsid w:val="005225DF"/>
    <w:rsid w:val="00523F95"/>
    <w:rsid w:val="005243CB"/>
    <w:rsid w:val="00524D65"/>
    <w:rsid w:val="00525164"/>
    <w:rsid w:val="00525B16"/>
    <w:rsid w:val="00526424"/>
    <w:rsid w:val="00527F01"/>
    <w:rsid w:val="00530F6D"/>
    <w:rsid w:val="00532E45"/>
    <w:rsid w:val="00533D04"/>
    <w:rsid w:val="00534804"/>
    <w:rsid w:val="00534BDF"/>
    <w:rsid w:val="005354EA"/>
    <w:rsid w:val="0053585F"/>
    <w:rsid w:val="00535EC4"/>
    <w:rsid w:val="00535ED9"/>
    <w:rsid w:val="0053692B"/>
    <w:rsid w:val="0053697B"/>
    <w:rsid w:val="00541853"/>
    <w:rsid w:val="00542892"/>
    <w:rsid w:val="00542D9B"/>
    <w:rsid w:val="00543890"/>
    <w:rsid w:val="00543BDA"/>
    <w:rsid w:val="005441CC"/>
    <w:rsid w:val="00545023"/>
    <w:rsid w:val="005468B0"/>
    <w:rsid w:val="005479DA"/>
    <w:rsid w:val="00547BCC"/>
    <w:rsid w:val="0055013B"/>
    <w:rsid w:val="00550C19"/>
    <w:rsid w:val="00551255"/>
    <w:rsid w:val="00551F6F"/>
    <w:rsid w:val="00552D55"/>
    <w:rsid w:val="00553F65"/>
    <w:rsid w:val="00555044"/>
    <w:rsid w:val="00556CC5"/>
    <w:rsid w:val="00561475"/>
    <w:rsid w:val="005616A1"/>
    <w:rsid w:val="00561E0B"/>
    <w:rsid w:val="0056487B"/>
    <w:rsid w:val="00564FB9"/>
    <w:rsid w:val="005659B1"/>
    <w:rsid w:val="00565F4B"/>
    <w:rsid w:val="0057082B"/>
    <w:rsid w:val="0057251C"/>
    <w:rsid w:val="00573D9E"/>
    <w:rsid w:val="00577066"/>
    <w:rsid w:val="005801E3"/>
    <w:rsid w:val="00581802"/>
    <w:rsid w:val="005836A8"/>
    <w:rsid w:val="00583B54"/>
    <w:rsid w:val="0058409C"/>
    <w:rsid w:val="00584262"/>
    <w:rsid w:val="00586630"/>
    <w:rsid w:val="00587ADD"/>
    <w:rsid w:val="00591E27"/>
    <w:rsid w:val="005956EC"/>
    <w:rsid w:val="00596160"/>
    <w:rsid w:val="005966E2"/>
    <w:rsid w:val="00597007"/>
    <w:rsid w:val="005A07AF"/>
    <w:rsid w:val="005A0966"/>
    <w:rsid w:val="005A11B7"/>
    <w:rsid w:val="005A260B"/>
    <w:rsid w:val="005A3CE0"/>
    <w:rsid w:val="005A4A1B"/>
    <w:rsid w:val="005A6B0D"/>
    <w:rsid w:val="005A7830"/>
    <w:rsid w:val="005A7FCE"/>
    <w:rsid w:val="005B0F3F"/>
    <w:rsid w:val="005B4903"/>
    <w:rsid w:val="005B4DD1"/>
    <w:rsid w:val="005B51CE"/>
    <w:rsid w:val="005B5885"/>
    <w:rsid w:val="005B5CD7"/>
    <w:rsid w:val="005B67E5"/>
    <w:rsid w:val="005B6CF6"/>
    <w:rsid w:val="005B7422"/>
    <w:rsid w:val="005C29B8"/>
    <w:rsid w:val="005C4637"/>
    <w:rsid w:val="005C46E4"/>
    <w:rsid w:val="005C5F21"/>
    <w:rsid w:val="005C5FB3"/>
    <w:rsid w:val="005C7156"/>
    <w:rsid w:val="005C7B16"/>
    <w:rsid w:val="005D0C75"/>
    <w:rsid w:val="005D1E2D"/>
    <w:rsid w:val="005D3500"/>
    <w:rsid w:val="005D4171"/>
    <w:rsid w:val="005D60C0"/>
    <w:rsid w:val="005D6A95"/>
    <w:rsid w:val="005D6B2C"/>
    <w:rsid w:val="005D6D9C"/>
    <w:rsid w:val="005D7762"/>
    <w:rsid w:val="005E2335"/>
    <w:rsid w:val="005E34CA"/>
    <w:rsid w:val="005E3B5B"/>
    <w:rsid w:val="005E3C18"/>
    <w:rsid w:val="005E5F0F"/>
    <w:rsid w:val="005E6812"/>
    <w:rsid w:val="005E7881"/>
    <w:rsid w:val="005E78E0"/>
    <w:rsid w:val="005F0D9C"/>
    <w:rsid w:val="005F1CA3"/>
    <w:rsid w:val="005F284E"/>
    <w:rsid w:val="005F3D75"/>
    <w:rsid w:val="005F4712"/>
    <w:rsid w:val="005F63DB"/>
    <w:rsid w:val="006015CE"/>
    <w:rsid w:val="0060195C"/>
    <w:rsid w:val="00602F32"/>
    <w:rsid w:val="006034B8"/>
    <w:rsid w:val="0060403E"/>
    <w:rsid w:val="00604784"/>
    <w:rsid w:val="00606419"/>
    <w:rsid w:val="00606FBF"/>
    <w:rsid w:val="00607D29"/>
    <w:rsid w:val="00611053"/>
    <w:rsid w:val="00611579"/>
    <w:rsid w:val="00611936"/>
    <w:rsid w:val="00612952"/>
    <w:rsid w:val="00613509"/>
    <w:rsid w:val="00614CC1"/>
    <w:rsid w:val="006153E0"/>
    <w:rsid w:val="00615A9D"/>
    <w:rsid w:val="0061667F"/>
    <w:rsid w:val="00617387"/>
    <w:rsid w:val="006205D6"/>
    <w:rsid w:val="00620B58"/>
    <w:rsid w:val="0062112C"/>
    <w:rsid w:val="00624DCD"/>
    <w:rsid w:val="006252D8"/>
    <w:rsid w:val="006259BC"/>
    <w:rsid w:val="0062636B"/>
    <w:rsid w:val="00627F7E"/>
    <w:rsid w:val="00631861"/>
    <w:rsid w:val="00632182"/>
    <w:rsid w:val="00632AE0"/>
    <w:rsid w:val="00633C17"/>
    <w:rsid w:val="00634D9E"/>
    <w:rsid w:val="00636E3E"/>
    <w:rsid w:val="006379F7"/>
    <w:rsid w:val="00637E4D"/>
    <w:rsid w:val="00640620"/>
    <w:rsid w:val="00641A1F"/>
    <w:rsid w:val="006426AD"/>
    <w:rsid w:val="00645904"/>
    <w:rsid w:val="00650203"/>
    <w:rsid w:val="0065041C"/>
    <w:rsid w:val="00651ACB"/>
    <w:rsid w:val="00651C47"/>
    <w:rsid w:val="00651D0F"/>
    <w:rsid w:val="0065273E"/>
    <w:rsid w:val="00652AB2"/>
    <w:rsid w:val="006530C9"/>
    <w:rsid w:val="00653FED"/>
    <w:rsid w:val="00654AAF"/>
    <w:rsid w:val="00654EC0"/>
    <w:rsid w:val="0065525B"/>
    <w:rsid w:val="00655AE6"/>
    <w:rsid w:val="00655D4F"/>
    <w:rsid w:val="006565D9"/>
    <w:rsid w:val="00656A5D"/>
    <w:rsid w:val="00656D29"/>
    <w:rsid w:val="00661934"/>
    <w:rsid w:val="00663739"/>
    <w:rsid w:val="00663CA1"/>
    <w:rsid w:val="006640E5"/>
    <w:rsid w:val="0066450E"/>
    <w:rsid w:val="006646F1"/>
    <w:rsid w:val="00664929"/>
    <w:rsid w:val="00664F62"/>
    <w:rsid w:val="006655E1"/>
    <w:rsid w:val="00671277"/>
    <w:rsid w:val="00672060"/>
    <w:rsid w:val="00672BFD"/>
    <w:rsid w:val="00673E6A"/>
    <w:rsid w:val="006770F4"/>
    <w:rsid w:val="00677A84"/>
    <w:rsid w:val="0068026D"/>
    <w:rsid w:val="00680A27"/>
    <w:rsid w:val="006816A4"/>
    <w:rsid w:val="006819B8"/>
    <w:rsid w:val="00682250"/>
    <w:rsid w:val="006840A6"/>
    <w:rsid w:val="006850CD"/>
    <w:rsid w:val="00685AAB"/>
    <w:rsid w:val="00695D22"/>
    <w:rsid w:val="00696C14"/>
    <w:rsid w:val="0069763F"/>
    <w:rsid w:val="006A07AA"/>
    <w:rsid w:val="006A25E5"/>
    <w:rsid w:val="006A2B46"/>
    <w:rsid w:val="006A336D"/>
    <w:rsid w:val="006A37B9"/>
    <w:rsid w:val="006A5836"/>
    <w:rsid w:val="006B2672"/>
    <w:rsid w:val="006B54BF"/>
    <w:rsid w:val="006B5F44"/>
    <w:rsid w:val="006B5F90"/>
    <w:rsid w:val="006B62E4"/>
    <w:rsid w:val="006B7B1B"/>
    <w:rsid w:val="006C158F"/>
    <w:rsid w:val="006C1BBA"/>
    <w:rsid w:val="006C2079"/>
    <w:rsid w:val="006C57F1"/>
    <w:rsid w:val="006C5A62"/>
    <w:rsid w:val="006C5D68"/>
    <w:rsid w:val="006C6976"/>
    <w:rsid w:val="006C6DD0"/>
    <w:rsid w:val="006D04EA"/>
    <w:rsid w:val="006D0AB7"/>
    <w:rsid w:val="006D16C4"/>
    <w:rsid w:val="006D256A"/>
    <w:rsid w:val="006D2C49"/>
    <w:rsid w:val="006D3030"/>
    <w:rsid w:val="006D3E96"/>
    <w:rsid w:val="006D4150"/>
    <w:rsid w:val="006D4515"/>
    <w:rsid w:val="006D4BB1"/>
    <w:rsid w:val="006D50EE"/>
    <w:rsid w:val="006D6593"/>
    <w:rsid w:val="006D74C2"/>
    <w:rsid w:val="006E23EA"/>
    <w:rsid w:val="006E40F2"/>
    <w:rsid w:val="006E4BD8"/>
    <w:rsid w:val="006E4C03"/>
    <w:rsid w:val="006E76E4"/>
    <w:rsid w:val="006F03A8"/>
    <w:rsid w:val="006F2ACA"/>
    <w:rsid w:val="006F2ADC"/>
    <w:rsid w:val="006F2BFE"/>
    <w:rsid w:val="006F2D2E"/>
    <w:rsid w:val="006F31E9"/>
    <w:rsid w:val="006F6284"/>
    <w:rsid w:val="007002C5"/>
    <w:rsid w:val="00704387"/>
    <w:rsid w:val="007067A2"/>
    <w:rsid w:val="00707669"/>
    <w:rsid w:val="00711CBA"/>
    <w:rsid w:val="00711FB5"/>
    <w:rsid w:val="00712A01"/>
    <w:rsid w:val="00713BAC"/>
    <w:rsid w:val="00714F58"/>
    <w:rsid w:val="007167EF"/>
    <w:rsid w:val="00716AA7"/>
    <w:rsid w:val="00717844"/>
    <w:rsid w:val="00722CEF"/>
    <w:rsid w:val="00722FBF"/>
    <w:rsid w:val="00722FC2"/>
    <w:rsid w:val="0072335E"/>
    <w:rsid w:val="00724879"/>
    <w:rsid w:val="00724E1B"/>
    <w:rsid w:val="00725949"/>
    <w:rsid w:val="007273E0"/>
    <w:rsid w:val="00727FA2"/>
    <w:rsid w:val="00727FE5"/>
    <w:rsid w:val="007322D9"/>
    <w:rsid w:val="00732BC0"/>
    <w:rsid w:val="0073303C"/>
    <w:rsid w:val="007348D7"/>
    <w:rsid w:val="00735F16"/>
    <w:rsid w:val="0073720F"/>
    <w:rsid w:val="00737796"/>
    <w:rsid w:val="00737BC2"/>
    <w:rsid w:val="0074165C"/>
    <w:rsid w:val="00742C35"/>
    <w:rsid w:val="007432CA"/>
    <w:rsid w:val="007439EB"/>
    <w:rsid w:val="00743CB4"/>
    <w:rsid w:val="00743F0A"/>
    <w:rsid w:val="007444E8"/>
    <w:rsid w:val="00745116"/>
    <w:rsid w:val="0074548E"/>
    <w:rsid w:val="00745773"/>
    <w:rsid w:val="00746800"/>
    <w:rsid w:val="007501A8"/>
    <w:rsid w:val="00750D11"/>
    <w:rsid w:val="00750D61"/>
    <w:rsid w:val="00750EE1"/>
    <w:rsid w:val="00752B4D"/>
    <w:rsid w:val="00755402"/>
    <w:rsid w:val="00756B26"/>
    <w:rsid w:val="00756EDF"/>
    <w:rsid w:val="007600E3"/>
    <w:rsid w:val="00763170"/>
    <w:rsid w:val="00764D58"/>
    <w:rsid w:val="007653B2"/>
    <w:rsid w:val="00765C43"/>
    <w:rsid w:val="00765EFB"/>
    <w:rsid w:val="007671CA"/>
    <w:rsid w:val="00767C61"/>
    <w:rsid w:val="0077008A"/>
    <w:rsid w:val="00772AD8"/>
    <w:rsid w:val="0077381B"/>
    <w:rsid w:val="00773C1F"/>
    <w:rsid w:val="00774DA4"/>
    <w:rsid w:val="007760F7"/>
    <w:rsid w:val="00776599"/>
    <w:rsid w:val="00777D18"/>
    <w:rsid w:val="0078114B"/>
    <w:rsid w:val="00781DD2"/>
    <w:rsid w:val="00782F73"/>
    <w:rsid w:val="00783C6D"/>
    <w:rsid w:val="00783ECF"/>
    <w:rsid w:val="0078413A"/>
    <w:rsid w:val="0078483C"/>
    <w:rsid w:val="007851C7"/>
    <w:rsid w:val="00785C42"/>
    <w:rsid w:val="00785C7A"/>
    <w:rsid w:val="00786FB8"/>
    <w:rsid w:val="00787463"/>
    <w:rsid w:val="00793EE5"/>
    <w:rsid w:val="00794AD4"/>
    <w:rsid w:val="00795026"/>
    <w:rsid w:val="007959E8"/>
    <w:rsid w:val="00795E9C"/>
    <w:rsid w:val="007A0521"/>
    <w:rsid w:val="007A0935"/>
    <w:rsid w:val="007A0DFE"/>
    <w:rsid w:val="007A2ACF"/>
    <w:rsid w:val="007A2E12"/>
    <w:rsid w:val="007A3475"/>
    <w:rsid w:val="007A3891"/>
    <w:rsid w:val="007A41C8"/>
    <w:rsid w:val="007A54CE"/>
    <w:rsid w:val="007A6A23"/>
    <w:rsid w:val="007A6FD9"/>
    <w:rsid w:val="007A7FFA"/>
    <w:rsid w:val="007B04EB"/>
    <w:rsid w:val="007B0D4F"/>
    <w:rsid w:val="007B2CC9"/>
    <w:rsid w:val="007B5A3D"/>
    <w:rsid w:val="007B5B95"/>
    <w:rsid w:val="007B6432"/>
    <w:rsid w:val="007B68EA"/>
    <w:rsid w:val="007B7453"/>
    <w:rsid w:val="007C1E8B"/>
    <w:rsid w:val="007C2D89"/>
    <w:rsid w:val="007C4593"/>
    <w:rsid w:val="007C519D"/>
    <w:rsid w:val="007C5309"/>
    <w:rsid w:val="007C6069"/>
    <w:rsid w:val="007C6081"/>
    <w:rsid w:val="007D06C4"/>
    <w:rsid w:val="007D1352"/>
    <w:rsid w:val="007D215F"/>
    <w:rsid w:val="007D2508"/>
    <w:rsid w:val="007D25DD"/>
    <w:rsid w:val="007D346A"/>
    <w:rsid w:val="007D6518"/>
    <w:rsid w:val="007D76BD"/>
    <w:rsid w:val="007E0BF1"/>
    <w:rsid w:val="007E4F35"/>
    <w:rsid w:val="007F0ED8"/>
    <w:rsid w:val="007F0F63"/>
    <w:rsid w:val="007F75CE"/>
    <w:rsid w:val="00800733"/>
    <w:rsid w:val="008013A4"/>
    <w:rsid w:val="008027CE"/>
    <w:rsid w:val="00802F42"/>
    <w:rsid w:val="00803D6D"/>
    <w:rsid w:val="00804383"/>
    <w:rsid w:val="00804BB7"/>
    <w:rsid w:val="00804D41"/>
    <w:rsid w:val="00805BE1"/>
    <w:rsid w:val="00805FDD"/>
    <w:rsid w:val="00810257"/>
    <w:rsid w:val="008104F5"/>
    <w:rsid w:val="00811072"/>
    <w:rsid w:val="00811369"/>
    <w:rsid w:val="00811543"/>
    <w:rsid w:val="0081154C"/>
    <w:rsid w:val="00813F09"/>
    <w:rsid w:val="00815419"/>
    <w:rsid w:val="00815941"/>
    <w:rsid w:val="00816257"/>
    <w:rsid w:val="008163C8"/>
    <w:rsid w:val="008164A1"/>
    <w:rsid w:val="00817325"/>
    <w:rsid w:val="008209E6"/>
    <w:rsid w:val="00820A72"/>
    <w:rsid w:val="00823303"/>
    <w:rsid w:val="008233B2"/>
    <w:rsid w:val="00823A9F"/>
    <w:rsid w:val="00823C85"/>
    <w:rsid w:val="00823FDA"/>
    <w:rsid w:val="00825138"/>
    <w:rsid w:val="008252EE"/>
    <w:rsid w:val="00826235"/>
    <w:rsid w:val="008269DD"/>
    <w:rsid w:val="008273BD"/>
    <w:rsid w:val="00830621"/>
    <w:rsid w:val="00833117"/>
    <w:rsid w:val="0083348C"/>
    <w:rsid w:val="00837342"/>
    <w:rsid w:val="008373D3"/>
    <w:rsid w:val="00840617"/>
    <w:rsid w:val="00840D3C"/>
    <w:rsid w:val="00840F84"/>
    <w:rsid w:val="008411DC"/>
    <w:rsid w:val="008412E1"/>
    <w:rsid w:val="00842A47"/>
    <w:rsid w:val="00843C13"/>
    <w:rsid w:val="008454F8"/>
    <w:rsid w:val="008502B7"/>
    <w:rsid w:val="0085173A"/>
    <w:rsid w:val="00851743"/>
    <w:rsid w:val="00856316"/>
    <w:rsid w:val="00856CDA"/>
    <w:rsid w:val="008603CE"/>
    <w:rsid w:val="008620FC"/>
    <w:rsid w:val="008627A5"/>
    <w:rsid w:val="00863E05"/>
    <w:rsid w:val="00865ACA"/>
    <w:rsid w:val="00865D28"/>
    <w:rsid w:val="00865F85"/>
    <w:rsid w:val="00867C10"/>
    <w:rsid w:val="00870439"/>
    <w:rsid w:val="00870DA1"/>
    <w:rsid w:val="008754F2"/>
    <w:rsid w:val="008767E8"/>
    <w:rsid w:val="00876E71"/>
    <w:rsid w:val="0088136B"/>
    <w:rsid w:val="00883F93"/>
    <w:rsid w:val="00884DB3"/>
    <w:rsid w:val="00885054"/>
    <w:rsid w:val="00885A9D"/>
    <w:rsid w:val="008864F6"/>
    <w:rsid w:val="00887CF6"/>
    <w:rsid w:val="0089049D"/>
    <w:rsid w:val="00891E9F"/>
    <w:rsid w:val="008928C9"/>
    <w:rsid w:val="008930CB"/>
    <w:rsid w:val="008938DC"/>
    <w:rsid w:val="00893FD1"/>
    <w:rsid w:val="00894836"/>
    <w:rsid w:val="00895172"/>
    <w:rsid w:val="00895680"/>
    <w:rsid w:val="00896906"/>
    <w:rsid w:val="00896DFF"/>
    <w:rsid w:val="0089762C"/>
    <w:rsid w:val="008A1893"/>
    <w:rsid w:val="008A3215"/>
    <w:rsid w:val="008A4122"/>
    <w:rsid w:val="008A4907"/>
    <w:rsid w:val="008A57E6"/>
    <w:rsid w:val="008A5E28"/>
    <w:rsid w:val="008A5E53"/>
    <w:rsid w:val="008A6812"/>
    <w:rsid w:val="008A6F81"/>
    <w:rsid w:val="008A6FA4"/>
    <w:rsid w:val="008A769A"/>
    <w:rsid w:val="008B0C9C"/>
    <w:rsid w:val="008B166D"/>
    <w:rsid w:val="008B17F4"/>
    <w:rsid w:val="008B2015"/>
    <w:rsid w:val="008B338F"/>
    <w:rsid w:val="008B3615"/>
    <w:rsid w:val="008B4AC4"/>
    <w:rsid w:val="008B50C8"/>
    <w:rsid w:val="008B5281"/>
    <w:rsid w:val="008B7E05"/>
    <w:rsid w:val="008C1797"/>
    <w:rsid w:val="008C20A6"/>
    <w:rsid w:val="008C219C"/>
    <w:rsid w:val="008C34CB"/>
    <w:rsid w:val="008C475E"/>
    <w:rsid w:val="008C619A"/>
    <w:rsid w:val="008D0CE8"/>
    <w:rsid w:val="008D2D1D"/>
    <w:rsid w:val="008D453D"/>
    <w:rsid w:val="008D53AD"/>
    <w:rsid w:val="008D562B"/>
    <w:rsid w:val="008D5733"/>
    <w:rsid w:val="008D622B"/>
    <w:rsid w:val="008D666C"/>
    <w:rsid w:val="008D6943"/>
    <w:rsid w:val="008D6FF1"/>
    <w:rsid w:val="008D7B54"/>
    <w:rsid w:val="008E0C9D"/>
    <w:rsid w:val="008E1648"/>
    <w:rsid w:val="008E1B3E"/>
    <w:rsid w:val="008E2319"/>
    <w:rsid w:val="008E4BB6"/>
    <w:rsid w:val="008E5518"/>
    <w:rsid w:val="008E5C64"/>
    <w:rsid w:val="008E6A84"/>
    <w:rsid w:val="008F0CDC"/>
    <w:rsid w:val="008F17A3"/>
    <w:rsid w:val="008F1ED3"/>
    <w:rsid w:val="008F23A5"/>
    <w:rsid w:val="008F4924"/>
    <w:rsid w:val="008F4C29"/>
    <w:rsid w:val="008F5163"/>
    <w:rsid w:val="008F70BD"/>
    <w:rsid w:val="008F788F"/>
    <w:rsid w:val="008F7EA2"/>
    <w:rsid w:val="009000CF"/>
    <w:rsid w:val="00902722"/>
    <w:rsid w:val="009027BC"/>
    <w:rsid w:val="00906243"/>
    <w:rsid w:val="009062E6"/>
    <w:rsid w:val="00911BE5"/>
    <w:rsid w:val="00913B52"/>
    <w:rsid w:val="00913CA9"/>
    <w:rsid w:val="009142C0"/>
    <w:rsid w:val="009145AE"/>
    <w:rsid w:val="009146CE"/>
    <w:rsid w:val="00914BE2"/>
    <w:rsid w:val="00914CA7"/>
    <w:rsid w:val="00915653"/>
    <w:rsid w:val="00915C3E"/>
    <w:rsid w:val="009161A8"/>
    <w:rsid w:val="009163AA"/>
    <w:rsid w:val="00917763"/>
    <w:rsid w:val="0092383E"/>
    <w:rsid w:val="009245F5"/>
    <w:rsid w:val="009249EC"/>
    <w:rsid w:val="009273B3"/>
    <w:rsid w:val="009305B5"/>
    <w:rsid w:val="00932200"/>
    <w:rsid w:val="009429D5"/>
    <w:rsid w:val="00942BF1"/>
    <w:rsid w:val="00943E6E"/>
    <w:rsid w:val="009440DB"/>
    <w:rsid w:val="009442D4"/>
    <w:rsid w:val="00945180"/>
    <w:rsid w:val="00945428"/>
    <w:rsid w:val="0094607B"/>
    <w:rsid w:val="00953492"/>
    <w:rsid w:val="00953604"/>
    <w:rsid w:val="0095496B"/>
    <w:rsid w:val="009610DC"/>
    <w:rsid w:val="0096123F"/>
    <w:rsid w:val="00961490"/>
    <w:rsid w:val="0096343C"/>
    <w:rsid w:val="0096381A"/>
    <w:rsid w:val="00965E04"/>
    <w:rsid w:val="009674AD"/>
    <w:rsid w:val="009708A1"/>
    <w:rsid w:val="00970CDC"/>
    <w:rsid w:val="00972A00"/>
    <w:rsid w:val="00977010"/>
    <w:rsid w:val="009779FE"/>
    <w:rsid w:val="00977D02"/>
    <w:rsid w:val="00977E5E"/>
    <w:rsid w:val="009809BB"/>
    <w:rsid w:val="0098364B"/>
    <w:rsid w:val="00984BD8"/>
    <w:rsid w:val="00990321"/>
    <w:rsid w:val="009911AF"/>
    <w:rsid w:val="00991875"/>
    <w:rsid w:val="00991EE7"/>
    <w:rsid w:val="00991F92"/>
    <w:rsid w:val="00992985"/>
    <w:rsid w:val="00993889"/>
    <w:rsid w:val="0099551B"/>
    <w:rsid w:val="00997395"/>
    <w:rsid w:val="00997BF1"/>
    <w:rsid w:val="009A089C"/>
    <w:rsid w:val="009A0A65"/>
    <w:rsid w:val="009A118E"/>
    <w:rsid w:val="009A21CD"/>
    <w:rsid w:val="009A278C"/>
    <w:rsid w:val="009A2BC2"/>
    <w:rsid w:val="009A42C1"/>
    <w:rsid w:val="009A5429"/>
    <w:rsid w:val="009A5B95"/>
    <w:rsid w:val="009A72AD"/>
    <w:rsid w:val="009A742F"/>
    <w:rsid w:val="009A7A77"/>
    <w:rsid w:val="009B09E0"/>
    <w:rsid w:val="009B0BC5"/>
    <w:rsid w:val="009B1247"/>
    <w:rsid w:val="009B1F87"/>
    <w:rsid w:val="009B46F9"/>
    <w:rsid w:val="009B5CD4"/>
    <w:rsid w:val="009B6029"/>
    <w:rsid w:val="009B6971"/>
    <w:rsid w:val="009B6D2A"/>
    <w:rsid w:val="009C27F1"/>
    <w:rsid w:val="009C3152"/>
    <w:rsid w:val="009C4CFA"/>
    <w:rsid w:val="009C5070"/>
    <w:rsid w:val="009D0033"/>
    <w:rsid w:val="009D02E1"/>
    <w:rsid w:val="009D112C"/>
    <w:rsid w:val="009D1D1C"/>
    <w:rsid w:val="009D3445"/>
    <w:rsid w:val="009D47FA"/>
    <w:rsid w:val="009D4C5B"/>
    <w:rsid w:val="009D50D2"/>
    <w:rsid w:val="009D5F7E"/>
    <w:rsid w:val="009D6BCA"/>
    <w:rsid w:val="009E02B0"/>
    <w:rsid w:val="009E0EAE"/>
    <w:rsid w:val="009E0F62"/>
    <w:rsid w:val="009E4A58"/>
    <w:rsid w:val="009E5A2D"/>
    <w:rsid w:val="009E5AB2"/>
    <w:rsid w:val="009E5E74"/>
    <w:rsid w:val="009E6219"/>
    <w:rsid w:val="009F03B3"/>
    <w:rsid w:val="009F38E9"/>
    <w:rsid w:val="009F4387"/>
    <w:rsid w:val="00A0096C"/>
    <w:rsid w:val="00A01757"/>
    <w:rsid w:val="00A028C0"/>
    <w:rsid w:val="00A02BAE"/>
    <w:rsid w:val="00A03546"/>
    <w:rsid w:val="00A06A6B"/>
    <w:rsid w:val="00A075DE"/>
    <w:rsid w:val="00A07E47"/>
    <w:rsid w:val="00A11AF7"/>
    <w:rsid w:val="00A129D0"/>
    <w:rsid w:val="00A12C33"/>
    <w:rsid w:val="00A138BA"/>
    <w:rsid w:val="00A14C8E"/>
    <w:rsid w:val="00A1513F"/>
    <w:rsid w:val="00A153D9"/>
    <w:rsid w:val="00A15F09"/>
    <w:rsid w:val="00A169B6"/>
    <w:rsid w:val="00A16E82"/>
    <w:rsid w:val="00A2053B"/>
    <w:rsid w:val="00A2271D"/>
    <w:rsid w:val="00A235C7"/>
    <w:rsid w:val="00A237D5"/>
    <w:rsid w:val="00A26F82"/>
    <w:rsid w:val="00A30EFC"/>
    <w:rsid w:val="00A31984"/>
    <w:rsid w:val="00A32D73"/>
    <w:rsid w:val="00A3367B"/>
    <w:rsid w:val="00A34002"/>
    <w:rsid w:val="00A3597D"/>
    <w:rsid w:val="00A36DD1"/>
    <w:rsid w:val="00A4006C"/>
    <w:rsid w:val="00A40091"/>
    <w:rsid w:val="00A4030F"/>
    <w:rsid w:val="00A41C79"/>
    <w:rsid w:val="00A41CB5"/>
    <w:rsid w:val="00A42CDF"/>
    <w:rsid w:val="00A43479"/>
    <w:rsid w:val="00A4452E"/>
    <w:rsid w:val="00A4472C"/>
    <w:rsid w:val="00A44E69"/>
    <w:rsid w:val="00A4661E"/>
    <w:rsid w:val="00A47253"/>
    <w:rsid w:val="00A514C4"/>
    <w:rsid w:val="00A54EB0"/>
    <w:rsid w:val="00A55B83"/>
    <w:rsid w:val="00A55BD6"/>
    <w:rsid w:val="00A55D50"/>
    <w:rsid w:val="00A57142"/>
    <w:rsid w:val="00A648CD"/>
    <w:rsid w:val="00A6537A"/>
    <w:rsid w:val="00A65D55"/>
    <w:rsid w:val="00A672A4"/>
    <w:rsid w:val="00A67866"/>
    <w:rsid w:val="00A67BA1"/>
    <w:rsid w:val="00A70B07"/>
    <w:rsid w:val="00A71CD4"/>
    <w:rsid w:val="00A720AB"/>
    <w:rsid w:val="00A72100"/>
    <w:rsid w:val="00A7210A"/>
    <w:rsid w:val="00A723F8"/>
    <w:rsid w:val="00A775EB"/>
    <w:rsid w:val="00A77CCB"/>
    <w:rsid w:val="00A808E2"/>
    <w:rsid w:val="00A823DB"/>
    <w:rsid w:val="00A827C9"/>
    <w:rsid w:val="00A83D8D"/>
    <w:rsid w:val="00A8446B"/>
    <w:rsid w:val="00A8473F"/>
    <w:rsid w:val="00A8498B"/>
    <w:rsid w:val="00A862D6"/>
    <w:rsid w:val="00A8715E"/>
    <w:rsid w:val="00A90686"/>
    <w:rsid w:val="00A90B64"/>
    <w:rsid w:val="00A9295B"/>
    <w:rsid w:val="00A93480"/>
    <w:rsid w:val="00A93B09"/>
    <w:rsid w:val="00A93F7A"/>
    <w:rsid w:val="00A94247"/>
    <w:rsid w:val="00A94B20"/>
    <w:rsid w:val="00A952D7"/>
    <w:rsid w:val="00A963F7"/>
    <w:rsid w:val="00A96AD8"/>
    <w:rsid w:val="00A97A63"/>
    <w:rsid w:val="00A97C31"/>
    <w:rsid w:val="00A97D29"/>
    <w:rsid w:val="00AA052C"/>
    <w:rsid w:val="00AA1E45"/>
    <w:rsid w:val="00AA4286"/>
    <w:rsid w:val="00AA456B"/>
    <w:rsid w:val="00AA57F5"/>
    <w:rsid w:val="00AA672E"/>
    <w:rsid w:val="00AA6B57"/>
    <w:rsid w:val="00AA6EC9"/>
    <w:rsid w:val="00AB0D1D"/>
    <w:rsid w:val="00AB41D5"/>
    <w:rsid w:val="00AB5FD4"/>
    <w:rsid w:val="00AB6309"/>
    <w:rsid w:val="00AB6C5F"/>
    <w:rsid w:val="00AB7129"/>
    <w:rsid w:val="00AC17B0"/>
    <w:rsid w:val="00AC27A6"/>
    <w:rsid w:val="00AC30F7"/>
    <w:rsid w:val="00AC3A5A"/>
    <w:rsid w:val="00AC4D95"/>
    <w:rsid w:val="00AC52A4"/>
    <w:rsid w:val="00AC5DF4"/>
    <w:rsid w:val="00AC67A8"/>
    <w:rsid w:val="00AD0AEF"/>
    <w:rsid w:val="00AD0C2D"/>
    <w:rsid w:val="00AD11B7"/>
    <w:rsid w:val="00AD1A94"/>
    <w:rsid w:val="00AD1C05"/>
    <w:rsid w:val="00AD4126"/>
    <w:rsid w:val="00AD421C"/>
    <w:rsid w:val="00AD44FA"/>
    <w:rsid w:val="00AE070A"/>
    <w:rsid w:val="00AE101C"/>
    <w:rsid w:val="00AE37E5"/>
    <w:rsid w:val="00AE3844"/>
    <w:rsid w:val="00AE5EB4"/>
    <w:rsid w:val="00AE68A3"/>
    <w:rsid w:val="00AF0C18"/>
    <w:rsid w:val="00AF0E26"/>
    <w:rsid w:val="00AF47C5"/>
    <w:rsid w:val="00AF5398"/>
    <w:rsid w:val="00B01F30"/>
    <w:rsid w:val="00B049AF"/>
    <w:rsid w:val="00B0631E"/>
    <w:rsid w:val="00B07242"/>
    <w:rsid w:val="00B10534"/>
    <w:rsid w:val="00B109D3"/>
    <w:rsid w:val="00B113DB"/>
    <w:rsid w:val="00B11D8A"/>
    <w:rsid w:val="00B12981"/>
    <w:rsid w:val="00B14789"/>
    <w:rsid w:val="00B147DD"/>
    <w:rsid w:val="00B15521"/>
    <w:rsid w:val="00B156FD"/>
    <w:rsid w:val="00B1665B"/>
    <w:rsid w:val="00B21F61"/>
    <w:rsid w:val="00B261F1"/>
    <w:rsid w:val="00B265BC"/>
    <w:rsid w:val="00B31FB1"/>
    <w:rsid w:val="00B3293C"/>
    <w:rsid w:val="00B32AA6"/>
    <w:rsid w:val="00B33952"/>
    <w:rsid w:val="00B33C5E"/>
    <w:rsid w:val="00B342F4"/>
    <w:rsid w:val="00B34369"/>
    <w:rsid w:val="00B34DC2"/>
    <w:rsid w:val="00B35397"/>
    <w:rsid w:val="00B358F7"/>
    <w:rsid w:val="00B366E2"/>
    <w:rsid w:val="00B373D4"/>
    <w:rsid w:val="00B378E5"/>
    <w:rsid w:val="00B37D4D"/>
    <w:rsid w:val="00B418BA"/>
    <w:rsid w:val="00B4346D"/>
    <w:rsid w:val="00B440F4"/>
    <w:rsid w:val="00B447A5"/>
    <w:rsid w:val="00B4654C"/>
    <w:rsid w:val="00B46AF0"/>
    <w:rsid w:val="00B47293"/>
    <w:rsid w:val="00B50E50"/>
    <w:rsid w:val="00B52120"/>
    <w:rsid w:val="00B54ABC"/>
    <w:rsid w:val="00B54DDE"/>
    <w:rsid w:val="00B56EA6"/>
    <w:rsid w:val="00B56FBE"/>
    <w:rsid w:val="00B60ACF"/>
    <w:rsid w:val="00B62B58"/>
    <w:rsid w:val="00B65149"/>
    <w:rsid w:val="00B6606B"/>
    <w:rsid w:val="00B66567"/>
    <w:rsid w:val="00B66F52"/>
    <w:rsid w:val="00B66FE5"/>
    <w:rsid w:val="00B678B0"/>
    <w:rsid w:val="00B70A19"/>
    <w:rsid w:val="00B71BDE"/>
    <w:rsid w:val="00B72880"/>
    <w:rsid w:val="00B758BF"/>
    <w:rsid w:val="00B75B63"/>
    <w:rsid w:val="00B77EC8"/>
    <w:rsid w:val="00B827A6"/>
    <w:rsid w:val="00B82D7F"/>
    <w:rsid w:val="00B831CE"/>
    <w:rsid w:val="00B86677"/>
    <w:rsid w:val="00B87131"/>
    <w:rsid w:val="00B903D5"/>
    <w:rsid w:val="00B90C81"/>
    <w:rsid w:val="00B939B1"/>
    <w:rsid w:val="00B96573"/>
    <w:rsid w:val="00B966DF"/>
    <w:rsid w:val="00B96D40"/>
    <w:rsid w:val="00B97386"/>
    <w:rsid w:val="00BA263B"/>
    <w:rsid w:val="00BA2780"/>
    <w:rsid w:val="00BA42B2"/>
    <w:rsid w:val="00BA58D4"/>
    <w:rsid w:val="00BA5B9E"/>
    <w:rsid w:val="00BA7C9A"/>
    <w:rsid w:val="00BB15E9"/>
    <w:rsid w:val="00BB203B"/>
    <w:rsid w:val="00BB4277"/>
    <w:rsid w:val="00BB5F8F"/>
    <w:rsid w:val="00BB657A"/>
    <w:rsid w:val="00BC1A4E"/>
    <w:rsid w:val="00BC271D"/>
    <w:rsid w:val="00BC405F"/>
    <w:rsid w:val="00BC4790"/>
    <w:rsid w:val="00BC49CB"/>
    <w:rsid w:val="00BC5DC7"/>
    <w:rsid w:val="00BC6B8B"/>
    <w:rsid w:val="00BC73D8"/>
    <w:rsid w:val="00BD002D"/>
    <w:rsid w:val="00BD00C7"/>
    <w:rsid w:val="00BD3761"/>
    <w:rsid w:val="00BD4D1E"/>
    <w:rsid w:val="00BD52D7"/>
    <w:rsid w:val="00BD5AD2"/>
    <w:rsid w:val="00BE22F3"/>
    <w:rsid w:val="00BE255F"/>
    <w:rsid w:val="00BE3B7E"/>
    <w:rsid w:val="00BE4B06"/>
    <w:rsid w:val="00BE4F63"/>
    <w:rsid w:val="00BE5B52"/>
    <w:rsid w:val="00BE7864"/>
    <w:rsid w:val="00BE7B8D"/>
    <w:rsid w:val="00BF0993"/>
    <w:rsid w:val="00BF0AE7"/>
    <w:rsid w:val="00BF10A9"/>
    <w:rsid w:val="00BF1703"/>
    <w:rsid w:val="00BF231C"/>
    <w:rsid w:val="00BF51E5"/>
    <w:rsid w:val="00BF74A6"/>
    <w:rsid w:val="00C00C1F"/>
    <w:rsid w:val="00C013AD"/>
    <w:rsid w:val="00C01B77"/>
    <w:rsid w:val="00C04904"/>
    <w:rsid w:val="00C05621"/>
    <w:rsid w:val="00C056B3"/>
    <w:rsid w:val="00C06166"/>
    <w:rsid w:val="00C0751B"/>
    <w:rsid w:val="00C103E5"/>
    <w:rsid w:val="00C13319"/>
    <w:rsid w:val="00C13EE9"/>
    <w:rsid w:val="00C15B73"/>
    <w:rsid w:val="00C20108"/>
    <w:rsid w:val="00C21540"/>
    <w:rsid w:val="00C21906"/>
    <w:rsid w:val="00C21BFA"/>
    <w:rsid w:val="00C21F57"/>
    <w:rsid w:val="00C22148"/>
    <w:rsid w:val="00C23195"/>
    <w:rsid w:val="00C24C8D"/>
    <w:rsid w:val="00C25FE2"/>
    <w:rsid w:val="00C26B53"/>
    <w:rsid w:val="00C279B2"/>
    <w:rsid w:val="00C3365E"/>
    <w:rsid w:val="00C33E50"/>
    <w:rsid w:val="00C34C20"/>
    <w:rsid w:val="00C35A3E"/>
    <w:rsid w:val="00C414D2"/>
    <w:rsid w:val="00C42130"/>
    <w:rsid w:val="00C423A4"/>
    <w:rsid w:val="00C44A2E"/>
    <w:rsid w:val="00C44BF5"/>
    <w:rsid w:val="00C51201"/>
    <w:rsid w:val="00C521D6"/>
    <w:rsid w:val="00C52278"/>
    <w:rsid w:val="00C536FA"/>
    <w:rsid w:val="00C55232"/>
    <w:rsid w:val="00C553A4"/>
    <w:rsid w:val="00C55A06"/>
    <w:rsid w:val="00C55D03"/>
    <w:rsid w:val="00C601BC"/>
    <w:rsid w:val="00C615FD"/>
    <w:rsid w:val="00C62AAB"/>
    <w:rsid w:val="00C6329F"/>
    <w:rsid w:val="00C63340"/>
    <w:rsid w:val="00C643F9"/>
    <w:rsid w:val="00C64596"/>
    <w:rsid w:val="00C64E95"/>
    <w:rsid w:val="00C70537"/>
    <w:rsid w:val="00C71372"/>
    <w:rsid w:val="00C72308"/>
    <w:rsid w:val="00C72410"/>
    <w:rsid w:val="00C7287F"/>
    <w:rsid w:val="00C73B3D"/>
    <w:rsid w:val="00C741F9"/>
    <w:rsid w:val="00C76AF6"/>
    <w:rsid w:val="00C8082B"/>
    <w:rsid w:val="00C80982"/>
    <w:rsid w:val="00C80CB8"/>
    <w:rsid w:val="00C819F8"/>
    <w:rsid w:val="00C81C44"/>
    <w:rsid w:val="00C8248C"/>
    <w:rsid w:val="00C84513"/>
    <w:rsid w:val="00C84E33"/>
    <w:rsid w:val="00C858F2"/>
    <w:rsid w:val="00C859C1"/>
    <w:rsid w:val="00C86D6F"/>
    <w:rsid w:val="00C905FC"/>
    <w:rsid w:val="00C9190A"/>
    <w:rsid w:val="00C92D03"/>
    <w:rsid w:val="00C9319C"/>
    <w:rsid w:val="00C9435D"/>
    <w:rsid w:val="00C94A9D"/>
    <w:rsid w:val="00C94DF2"/>
    <w:rsid w:val="00C96741"/>
    <w:rsid w:val="00C97621"/>
    <w:rsid w:val="00CA085D"/>
    <w:rsid w:val="00CA2D1B"/>
    <w:rsid w:val="00CA375D"/>
    <w:rsid w:val="00CA662A"/>
    <w:rsid w:val="00CA7AFD"/>
    <w:rsid w:val="00CA7C3C"/>
    <w:rsid w:val="00CB0189"/>
    <w:rsid w:val="00CB0BA2"/>
    <w:rsid w:val="00CB1318"/>
    <w:rsid w:val="00CB1A42"/>
    <w:rsid w:val="00CB1B0C"/>
    <w:rsid w:val="00CB2C0B"/>
    <w:rsid w:val="00CB2F42"/>
    <w:rsid w:val="00CB517D"/>
    <w:rsid w:val="00CB5D21"/>
    <w:rsid w:val="00CB5F40"/>
    <w:rsid w:val="00CB7E09"/>
    <w:rsid w:val="00CC038D"/>
    <w:rsid w:val="00CC08DB"/>
    <w:rsid w:val="00CC39FF"/>
    <w:rsid w:val="00CC3C2F"/>
    <w:rsid w:val="00CC42DC"/>
    <w:rsid w:val="00CC4AC8"/>
    <w:rsid w:val="00CC5233"/>
    <w:rsid w:val="00CC5DE6"/>
    <w:rsid w:val="00CC6E4E"/>
    <w:rsid w:val="00CC6FE8"/>
    <w:rsid w:val="00CC7202"/>
    <w:rsid w:val="00CD2431"/>
    <w:rsid w:val="00CD2808"/>
    <w:rsid w:val="00CD28BF"/>
    <w:rsid w:val="00CD2E16"/>
    <w:rsid w:val="00CD4092"/>
    <w:rsid w:val="00CD4A20"/>
    <w:rsid w:val="00CD4DBC"/>
    <w:rsid w:val="00CD4DC5"/>
    <w:rsid w:val="00CD50A1"/>
    <w:rsid w:val="00CD519E"/>
    <w:rsid w:val="00CD561D"/>
    <w:rsid w:val="00CE0C4F"/>
    <w:rsid w:val="00CE1D71"/>
    <w:rsid w:val="00CE30EA"/>
    <w:rsid w:val="00CE479D"/>
    <w:rsid w:val="00CE513F"/>
    <w:rsid w:val="00CF048A"/>
    <w:rsid w:val="00CF155A"/>
    <w:rsid w:val="00CF1FDF"/>
    <w:rsid w:val="00CF216C"/>
    <w:rsid w:val="00CF2947"/>
    <w:rsid w:val="00CF3CB2"/>
    <w:rsid w:val="00CF46CE"/>
    <w:rsid w:val="00CF56A8"/>
    <w:rsid w:val="00CF686F"/>
    <w:rsid w:val="00CF6C7A"/>
    <w:rsid w:val="00CF6E60"/>
    <w:rsid w:val="00CF7BCA"/>
    <w:rsid w:val="00D008FD"/>
    <w:rsid w:val="00D0321C"/>
    <w:rsid w:val="00D035EC"/>
    <w:rsid w:val="00D0397B"/>
    <w:rsid w:val="00D04717"/>
    <w:rsid w:val="00D0644E"/>
    <w:rsid w:val="00D06AB1"/>
    <w:rsid w:val="00D072ED"/>
    <w:rsid w:val="00D07A16"/>
    <w:rsid w:val="00D1067E"/>
    <w:rsid w:val="00D10F50"/>
    <w:rsid w:val="00D11272"/>
    <w:rsid w:val="00D11592"/>
    <w:rsid w:val="00D126F5"/>
    <w:rsid w:val="00D132B6"/>
    <w:rsid w:val="00D13B0F"/>
    <w:rsid w:val="00D1489E"/>
    <w:rsid w:val="00D14A34"/>
    <w:rsid w:val="00D20737"/>
    <w:rsid w:val="00D21D76"/>
    <w:rsid w:val="00D21E81"/>
    <w:rsid w:val="00D223DE"/>
    <w:rsid w:val="00D24479"/>
    <w:rsid w:val="00D25E37"/>
    <w:rsid w:val="00D2661A"/>
    <w:rsid w:val="00D27488"/>
    <w:rsid w:val="00D27582"/>
    <w:rsid w:val="00D27EC4"/>
    <w:rsid w:val="00D32719"/>
    <w:rsid w:val="00D33333"/>
    <w:rsid w:val="00D33457"/>
    <w:rsid w:val="00D335BB"/>
    <w:rsid w:val="00D352A2"/>
    <w:rsid w:val="00D3552B"/>
    <w:rsid w:val="00D35F12"/>
    <w:rsid w:val="00D36028"/>
    <w:rsid w:val="00D3660F"/>
    <w:rsid w:val="00D3735F"/>
    <w:rsid w:val="00D40480"/>
    <w:rsid w:val="00D41109"/>
    <w:rsid w:val="00D4162B"/>
    <w:rsid w:val="00D41EAD"/>
    <w:rsid w:val="00D42333"/>
    <w:rsid w:val="00D4514F"/>
    <w:rsid w:val="00D451E2"/>
    <w:rsid w:val="00D45E89"/>
    <w:rsid w:val="00D45E8D"/>
    <w:rsid w:val="00D466AE"/>
    <w:rsid w:val="00D4734F"/>
    <w:rsid w:val="00D47675"/>
    <w:rsid w:val="00D51BF3"/>
    <w:rsid w:val="00D5382E"/>
    <w:rsid w:val="00D555B7"/>
    <w:rsid w:val="00D559E0"/>
    <w:rsid w:val="00D571FA"/>
    <w:rsid w:val="00D60B23"/>
    <w:rsid w:val="00D66846"/>
    <w:rsid w:val="00D675FB"/>
    <w:rsid w:val="00D71F25"/>
    <w:rsid w:val="00D72A9C"/>
    <w:rsid w:val="00D73775"/>
    <w:rsid w:val="00D7442A"/>
    <w:rsid w:val="00D74DAF"/>
    <w:rsid w:val="00D76E29"/>
    <w:rsid w:val="00D77031"/>
    <w:rsid w:val="00D77A8A"/>
    <w:rsid w:val="00D82D5B"/>
    <w:rsid w:val="00D84941"/>
    <w:rsid w:val="00D84FA1"/>
    <w:rsid w:val="00D851F0"/>
    <w:rsid w:val="00D86DB7"/>
    <w:rsid w:val="00D926D0"/>
    <w:rsid w:val="00D93030"/>
    <w:rsid w:val="00D950E1"/>
    <w:rsid w:val="00D95131"/>
    <w:rsid w:val="00D952A6"/>
    <w:rsid w:val="00D97F99"/>
    <w:rsid w:val="00DA0648"/>
    <w:rsid w:val="00DA1E08"/>
    <w:rsid w:val="00DA24F8"/>
    <w:rsid w:val="00DA28E8"/>
    <w:rsid w:val="00DA38D3"/>
    <w:rsid w:val="00DA3932"/>
    <w:rsid w:val="00DA3AFC"/>
    <w:rsid w:val="00DA5191"/>
    <w:rsid w:val="00DA64F8"/>
    <w:rsid w:val="00DA6C15"/>
    <w:rsid w:val="00DB0258"/>
    <w:rsid w:val="00DB2E06"/>
    <w:rsid w:val="00DB38EE"/>
    <w:rsid w:val="00DB41A8"/>
    <w:rsid w:val="00DB498B"/>
    <w:rsid w:val="00DB66CA"/>
    <w:rsid w:val="00DB6BCA"/>
    <w:rsid w:val="00DB73F7"/>
    <w:rsid w:val="00DB7567"/>
    <w:rsid w:val="00DC0321"/>
    <w:rsid w:val="00DC09FD"/>
    <w:rsid w:val="00DC2066"/>
    <w:rsid w:val="00DC3067"/>
    <w:rsid w:val="00DC370B"/>
    <w:rsid w:val="00DC5B90"/>
    <w:rsid w:val="00DD00FF"/>
    <w:rsid w:val="00DD0619"/>
    <w:rsid w:val="00DD07FB"/>
    <w:rsid w:val="00DD2465"/>
    <w:rsid w:val="00DD25C6"/>
    <w:rsid w:val="00DD26ED"/>
    <w:rsid w:val="00DD4FE5"/>
    <w:rsid w:val="00DD54B0"/>
    <w:rsid w:val="00DD57EE"/>
    <w:rsid w:val="00DD6BCC"/>
    <w:rsid w:val="00DE0A4B"/>
    <w:rsid w:val="00DE2147"/>
    <w:rsid w:val="00DE2410"/>
    <w:rsid w:val="00DE268F"/>
    <w:rsid w:val="00DE2939"/>
    <w:rsid w:val="00DE6E81"/>
    <w:rsid w:val="00DE703F"/>
    <w:rsid w:val="00DE7595"/>
    <w:rsid w:val="00DF002E"/>
    <w:rsid w:val="00DF076C"/>
    <w:rsid w:val="00DF1961"/>
    <w:rsid w:val="00DF2E61"/>
    <w:rsid w:val="00DF44DE"/>
    <w:rsid w:val="00DF5F11"/>
    <w:rsid w:val="00DF7796"/>
    <w:rsid w:val="00E01138"/>
    <w:rsid w:val="00E02DFB"/>
    <w:rsid w:val="00E030F9"/>
    <w:rsid w:val="00E0311A"/>
    <w:rsid w:val="00E03138"/>
    <w:rsid w:val="00E03780"/>
    <w:rsid w:val="00E03E71"/>
    <w:rsid w:val="00E0420B"/>
    <w:rsid w:val="00E06404"/>
    <w:rsid w:val="00E065D2"/>
    <w:rsid w:val="00E067B3"/>
    <w:rsid w:val="00E06DC1"/>
    <w:rsid w:val="00E079E5"/>
    <w:rsid w:val="00E07AA9"/>
    <w:rsid w:val="00E10BED"/>
    <w:rsid w:val="00E11A85"/>
    <w:rsid w:val="00E12495"/>
    <w:rsid w:val="00E15CCD"/>
    <w:rsid w:val="00E17661"/>
    <w:rsid w:val="00E202EF"/>
    <w:rsid w:val="00E210B5"/>
    <w:rsid w:val="00E23D99"/>
    <w:rsid w:val="00E24654"/>
    <w:rsid w:val="00E2552F"/>
    <w:rsid w:val="00E3137A"/>
    <w:rsid w:val="00E31D28"/>
    <w:rsid w:val="00E32A1B"/>
    <w:rsid w:val="00E32CCF"/>
    <w:rsid w:val="00E34A98"/>
    <w:rsid w:val="00E35D1E"/>
    <w:rsid w:val="00E35DC0"/>
    <w:rsid w:val="00E364F9"/>
    <w:rsid w:val="00E365FA"/>
    <w:rsid w:val="00E36789"/>
    <w:rsid w:val="00E44A83"/>
    <w:rsid w:val="00E45488"/>
    <w:rsid w:val="00E502C1"/>
    <w:rsid w:val="00E502DD"/>
    <w:rsid w:val="00E50D3A"/>
    <w:rsid w:val="00E51387"/>
    <w:rsid w:val="00E515ED"/>
    <w:rsid w:val="00E51E68"/>
    <w:rsid w:val="00E521F7"/>
    <w:rsid w:val="00E52EFD"/>
    <w:rsid w:val="00E53E0A"/>
    <w:rsid w:val="00E5408A"/>
    <w:rsid w:val="00E544A8"/>
    <w:rsid w:val="00E558E4"/>
    <w:rsid w:val="00E56800"/>
    <w:rsid w:val="00E60C63"/>
    <w:rsid w:val="00E60D06"/>
    <w:rsid w:val="00E62FF9"/>
    <w:rsid w:val="00E635D6"/>
    <w:rsid w:val="00E639BC"/>
    <w:rsid w:val="00E63F8F"/>
    <w:rsid w:val="00E646C9"/>
    <w:rsid w:val="00E64C56"/>
    <w:rsid w:val="00E664CC"/>
    <w:rsid w:val="00E70388"/>
    <w:rsid w:val="00E70F92"/>
    <w:rsid w:val="00E71048"/>
    <w:rsid w:val="00E72359"/>
    <w:rsid w:val="00E728D8"/>
    <w:rsid w:val="00E72D6D"/>
    <w:rsid w:val="00E7471F"/>
    <w:rsid w:val="00E74C54"/>
    <w:rsid w:val="00E75A0E"/>
    <w:rsid w:val="00E77A03"/>
    <w:rsid w:val="00E77E3F"/>
    <w:rsid w:val="00E77E46"/>
    <w:rsid w:val="00E80F77"/>
    <w:rsid w:val="00E822E8"/>
    <w:rsid w:val="00E82554"/>
    <w:rsid w:val="00E82606"/>
    <w:rsid w:val="00E82F97"/>
    <w:rsid w:val="00E84663"/>
    <w:rsid w:val="00E846C8"/>
    <w:rsid w:val="00E84957"/>
    <w:rsid w:val="00E84A55"/>
    <w:rsid w:val="00E8560A"/>
    <w:rsid w:val="00E85BFF"/>
    <w:rsid w:val="00E90391"/>
    <w:rsid w:val="00E906C2"/>
    <w:rsid w:val="00E90BBD"/>
    <w:rsid w:val="00E915E8"/>
    <w:rsid w:val="00E92081"/>
    <w:rsid w:val="00E92C6D"/>
    <w:rsid w:val="00E9311F"/>
    <w:rsid w:val="00E934D1"/>
    <w:rsid w:val="00E94AF0"/>
    <w:rsid w:val="00E95A9E"/>
    <w:rsid w:val="00E95D13"/>
    <w:rsid w:val="00E95DD3"/>
    <w:rsid w:val="00E969D5"/>
    <w:rsid w:val="00EA0049"/>
    <w:rsid w:val="00EA58D1"/>
    <w:rsid w:val="00EA61BC"/>
    <w:rsid w:val="00EA681A"/>
    <w:rsid w:val="00EA735B"/>
    <w:rsid w:val="00EB0B5E"/>
    <w:rsid w:val="00EB17DE"/>
    <w:rsid w:val="00EB1E69"/>
    <w:rsid w:val="00EB2086"/>
    <w:rsid w:val="00EB5EDF"/>
    <w:rsid w:val="00EB60FE"/>
    <w:rsid w:val="00EB631F"/>
    <w:rsid w:val="00EB658B"/>
    <w:rsid w:val="00EB74DB"/>
    <w:rsid w:val="00EC13FB"/>
    <w:rsid w:val="00EC2D86"/>
    <w:rsid w:val="00EC5063"/>
    <w:rsid w:val="00EC5359"/>
    <w:rsid w:val="00EC562A"/>
    <w:rsid w:val="00EC648F"/>
    <w:rsid w:val="00ED067A"/>
    <w:rsid w:val="00ED100E"/>
    <w:rsid w:val="00ED2B50"/>
    <w:rsid w:val="00ED5DBD"/>
    <w:rsid w:val="00ED7F30"/>
    <w:rsid w:val="00EE0350"/>
    <w:rsid w:val="00EE0393"/>
    <w:rsid w:val="00EE0719"/>
    <w:rsid w:val="00EE0E80"/>
    <w:rsid w:val="00EE3088"/>
    <w:rsid w:val="00EE54A6"/>
    <w:rsid w:val="00EE5653"/>
    <w:rsid w:val="00EE613F"/>
    <w:rsid w:val="00EE7295"/>
    <w:rsid w:val="00EE77BA"/>
    <w:rsid w:val="00EE7869"/>
    <w:rsid w:val="00EE7AFE"/>
    <w:rsid w:val="00EF054A"/>
    <w:rsid w:val="00EF2255"/>
    <w:rsid w:val="00EF3235"/>
    <w:rsid w:val="00EF4065"/>
    <w:rsid w:val="00EF7E72"/>
    <w:rsid w:val="00F045E5"/>
    <w:rsid w:val="00F05225"/>
    <w:rsid w:val="00F06D37"/>
    <w:rsid w:val="00F07127"/>
    <w:rsid w:val="00F07B9D"/>
    <w:rsid w:val="00F07ED9"/>
    <w:rsid w:val="00F10A6C"/>
    <w:rsid w:val="00F110C7"/>
    <w:rsid w:val="00F11586"/>
    <w:rsid w:val="00F1183B"/>
    <w:rsid w:val="00F11C9F"/>
    <w:rsid w:val="00F12263"/>
    <w:rsid w:val="00F1409D"/>
    <w:rsid w:val="00F14214"/>
    <w:rsid w:val="00F157A9"/>
    <w:rsid w:val="00F16156"/>
    <w:rsid w:val="00F17CBF"/>
    <w:rsid w:val="00F207F9"/>
    <w:rsid w:val="00F25028"/>
    <w:rsid w:val="00F25BB6"/>
    <w:rsid w:val="00F26A28"/>
    <w:rsid w:val="00F26B7E"/>
    <w:rsid w:val="00F27A3B"/>
    <w:rsid w:val="00F27E36"/>
    <w:rsid w:val="00F33817"/>
    <w:rsid w:val="00F420D5"/>
    <w:rsid w:val="00F451EA"/>
    <w:rsid w:val="00F45447"/>
    <w:rsid w:val="00F456C6"/>
    <w:rsid w:val="00F4577B"/>
    <w:rsid w:val="00F46496"/>
    <w:rsid w:val="00F474D0"/>
    <w:rsid w:val="00F50179"/>
    <w:rsid w:val="00F5133A"/>
    <w:rsid w:val="00F515EE"/>
    <w:rsid w:val="00F54673"/>
    <w:rsid w:val="00F56511"/>
    <w:rsid w:val="00F57F35"/>
    <w:rsid w:val="00F6194E"/>
    <w:rsid w:val="00F623AC"/>
    <w:rsid w:val="00F62E3E"/>
    <w:rsid w:val="00F6412A"/>
    <w:rsid w:val="00F64549"/>
    <w:rsid w:val="00F65893"/>
    <w:rsid w:val="00F66A4A"/>
    <w:rsid w:val="00F71204"/>
    <w:rsid w:val="00F71E22"/>
    <w:rsid w:val="00F72142"/>
    <w:rsid w:val="00F72AE7"/>
    <w:rsid w:val="00F81141"/>
    <w:rsid w:val="00F833BA"/>
    <w:rsid w:val="00F837E4"/>
    <w:rsid w:val="00F83B0F"/>
    <w:rsid w:val="00F84B4E"/>
    <w:rsid w:val="00F84C1E"/>
    <w:rsid w:val="00F84FD0"/>
    <w:rsid w:val="00F859A8"/>
    <w:rsid w:val="00F86D87"/>
    <w:rsid w:val="00F9108B"/>
    <w:rsid w:val="00F91349"/>
    <w:rsid w:val="00F91C29"/>
    <w:rsid w:val="00F93A8A"/>
    <w:rsid w:val="00F95248"/>
    <w:rsid w:val="00F956A9"/>
    <w:rsid w:val="00F95F4C"/>
    <w:rsid w:val="00F963ED"/>
    <w:rsid w:val="00F966CF"/>
    <w:rsid w:val="00F96CAE"/>
    <w:rsid w:val="00F97842"/>
    <w:rsid w:val="00F97C99"/>
    <w:rsid w:val="00FA1C56"/>
    <w:rsid w:val="00FA3818"/>
    <w:rsid w:val="00FA4DAC"/>
    <w:rsid w:val="00FA662D"/>
    <w:rsid w:val="00FA73B1"/>
    <w:rsid w:val="00FB0CB9"/>
    <w:rsid w:val="00FB231D"/>
    <w:rsid w:val="00FB373F"/>
    <w:rsid w:val="00FB45F1"/>
    <w:rsid w:val="00FB4A72"/>
    <w:rsid w:val="00FB54E8"/>
    <w:rsid w:val="00FB5664"/>
    <w:rsid w:val="00FB5C29"/>
    <w:rsid w:val="00FB7054"/>
    <w:rsid w:val="00FC1519"/>
    <w:rsid w:val="00FC17B7"/>
    <w:rsid w:val="00FC2CB7"/>
    <w:rsid w:val="00FC4090"/>
    <w:rsid w:val="00FC4E54"/>
    <w:rsid w:val="00FC55B4"/>
    <w:rsid w:val="00FC6852"/>
    <w:rsid w:val="00FC6A40"/>
    <w:rsid w:val="00FD00E6"/>
    <w:rsid w:val="00FD09A1"/>
    <w:rsid w:val="00FD2A7C"/>
    <w:rsid w:val="00FD59EB"/>
    <w:rsid w:val="00FD7299"/>
    <w:rsid w:val="00FE1361"/>
    <w:rsid w:val="00FE157E"/>
    <w:rsid w:val="00FE1ED2"/>
    <w:rsid w:val="00FE1FBE"/>
    <w:rsid w:val="00FE3901"/>
    <w:rsid w:val="00FE39D3"/>
    <w:rsid w:val="00FE4A50"/>
    <w:rsid w:val="00FE4BCE"/>
    <w:rsid w:val="00FE54AE"/>
    <w:rsid w:val="00FE576A"/>
    <w:rsid w:val="00FE71E5"/>
    <w:rsid w:val="00FE7E79"/>
    <w:rsid w:val="00FF3E7D"/>
    <w:rsid w:val="00FF597F"/>
    <w:rsid w:val="00FF5B99"/>
    <w:rsid w:val="00FF730C"/>
    <w:rsid w:val="00FF73BF"/>
    <w:rsid w:val="00FF73F4"/>
    <w:rsid w:val="00FF7CE4"/>
    <w:rsid w:val="00FF7E39"/>
    <w:rsid w:val="EFBB42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9"/>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0"/>
    <w:qFormat/>
    <w:uiPriority w:val="0"/>
    <w:pPr>
      <w:keepNext/>
      <w:keepLines/>
      <w:spacing w:before="260" w:after="260" w:line="416" w:lineRule="auto"/>
      <w:outlineLvl w:val="2"/>
    </w:pPr>
    <w:rPr>
      <w:b/>
      <w:bCs/>
      <w:sz w:val="32"/>
      <w:szCs w:val="32"/>
    </w:rPr>
  </w:style>
  <w:style w:type="paragraph" w:styleId="5">
    <w:name w:val="heading 4"/>
    <w:basedOn w:val="1"/>
    <w:next w:val="1"/>
    <w:link w:val="41"/>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2"/>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3"/>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4"/>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5"/>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6"/>
    <w:qFormat/>
    <w:uiPriority w:val="0"/>
    <w:pPr>
      <w:keepNext/>
      <w:keepLines/>
      <w:adjustRightInd/>
      <w:spacing w:before="240" w:after="64" w:line="320" w:lineRule="auto"/>
      <w:outlineLvl w:val="8"/>
    </w:pPr>
    <w:rPr>
      <w:rFonts w:ascii="Arial" w:hAnsi="Arial" w:eastAsia="黑体"/>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annotation text"/>
    <w:basedOn w:val="1"/>
    <w:link w:val="234"/>
    <w:unhideWhenUsed/>
    <w:qFormat/>
    <w:uiPriority w:val="99"/>
    <w:pPr>
      <w:jc w:val="left"/>
    </w:pPr>
  </w:style>
  <w:style w:type="paragraph" w:styleId="14">
    <w:name w:val="Body Text"/>
    <w:basedOn w:val="1"/>
    <w:link w:val="90"/>
    <w:qFormat/>
    <w:uiPriority w:val="0"/>
    <w:pPr>
      <w:spacing w:after="120"/>
    </w:pPr>
  </w:style>
  <w:style w:type="paragraph" w:styleId="15">
    <w:name w:val="List 2"/>
    <w:basedOn w:val="1"/>
    <w:qFormat/>
    <w:uiPriority w:val="0"/>
    <w:pPr>
      <w:adjustRightInd/>
      <w:spacing w:line="240" w:lineRule="auto"/>
      <w:ind w:left="100" w:leftChars="200" w:hanging="200" w:hangingChars="200"/>
      <w:contextualSpacing/>
    </w:pPr>
    <w:rPr>
      <w:szCs w:val="24"/>
    </w:rPr>
  </w:style>
  <w:style w:type="paragraph" w:styleId="16">
    <w:name w:val="toc 5"/>
    <w:basedOn w:val="1"/>
    <w:next w:val="1"/>
    <w:unhideWhenUsed/>
    <w:qFormat/>
    <w:uiPriority w:val="39"/>
    <w:pPr>
      <w:ind w:left="839"/>
    </w:pPr>
    <w:rPr>
      <w:rFonts w:ascii="宋体"/>
    </w:rPr>
  </w:style>
  <w:style w:type="paragraph" w:styleId="17">
    <w:name w:val="toc 3"/>
    <w:basedOn w:val="1"/>
    <w:next w:val="1"/>
    <w:unhideWhenUsed/>
    <w:qFormat/>
    <w:uiPriority w:val="39"/>
    <w:pPr>
      <w:spacing w:line="300" w:lineRule="exact"/>
      <w:ind w:left="420"/>
    </w:pPr>
    <w:rPr>
      <w:rFonts w:ascii="宋体"/>
    </w:rPr>
  </w:style>
  <w:style w:type="paragraph" w:styleId="18">
    <w:name w:val="Balloon Text"/>
    <w:basedOn w:val="1"/>
    <w:link w:val="49"/>
    <w:semiHidden/>
    <w:unhideWhenUsed/>
    <w:qFormat/>
    <w:uiPriority w:val="99"/>
    <w:rPr>
      <w:sz w:val="18"/>
      <w:szCs w:val="18"/>
    </w:rPr>
  </w:style>
  <w:style w:type="paragraph" w:styleId="19">
    <w:name w:val="footer"/>
    <w:basedOn w:val="1"/>
    <w:link w:val="48"/>
    <w:qFormat/>
    <w:uiPriority w:val="99"/>
    <w:pPr>
      <w:tabs>
        <w:tab w:val="center" w:pos="4153"/>
        <w:tab w:val="right" w:pos="8306"/>
      </w:tabs>
      <w:adjustRightInd/>
      <w:snapToGrid w:val="0"/>
      <w:spacing w:line="240" w:lineRule="auto"/>
      <w:jc w:val="right"/>
    </w:pPr>
    <w:rPr>
      <w:rFonts w:ascii="宋体"/>
      <w:sz w:val="18"/>
      <w:szCs w:val="18"/>
    </w:rPr>
  </w:style>
  <w:style w:type="paragraph" w:styleId="20">
    <w:name w:val="header"/>
    <w:basedOn w:val="1"/>
    <w:link w:val="47"/>
    <w:qFormat/>
    <w:uiPriority w:val="99"/>
    <w:pPr>
      <w:tabs>
        <w:tab w:val="center" w:pos="4153"/>
        <w:tab w:val="right" w:pos="8306"/>
      </w:tabs>
      <w:adjustRightInd/>
      <w:snapToGrid w:val="0"/>
      <w:jc w:val="center"/>
    </w:pPr>
    <w:rPr>
      <w:sz w:val="18"/>
      <w:szCs w:val="18"/>
    </w:rPr>
  </w:style>
  <w:style w:type="paragraph" w:styleId="21">
    <w:name w:val="toc 1"/>
    <w:basedOn w:val="1"/>
    <w:next w:val="1"/>
    <w:unhideWhenUsed/>
    <w:qFormat/>
    <w:uiPriority w:val="39"/>
    <w:rPr>
      <w:rFonts w:ascii="宋体"/>
    </w:rPr>
  </w:style>
  <w:style w:type="paragraph" w:styleId="22">
    <w:name w:val="toc 4"/>
    <w:basedOn w:val="1"/>
    <w:next w:val="1"/>
    <w:unhideWhenUsed/>
    <w:qFormat/>
    <w:uiPriority w:val="39"/>
    <w:pPr>
      <w:tabs>
        <w:tab w:val="right" w:leader="dot" w:pos="9344"/>
      </w:tabs>
      <w:spacing w:line="300" w:lineRule="exact"/>
      <w:ind w:left="629"/>
    </w:pPr>
    <w:rPr>
      <w:rFonts w:ascii="宋体"/>
    </w:rPr>
  </w:style>
  <w:style w:type="paragraph" w:styleId="23">
    <w:name w:val="footnote text"/>
    <w:basedOn w:val="1"/>
    <w:next w:val="1"/>
    <w:link w:val="103"/>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4">
    <w:name w:val="toc 6"/>
    <w:basedOn w:val="1"/>
    <w:next w:val="1"/>
    <w:unhideWhenUsed/>
    <w:qFormat/>
    <w:uiPriority w:val="39"/>
    <w:pPr>
      <w:spacing w:line="300" w:lineRule="exact"/>
      <w:ind w:left="1049"/>
    </w:pPr>
    <w:rPr>
      <w:rFonts w:ascii="宋体"/>
    </w:rPr>
  </w:style>
  <w:style w:type="paragraph" w:styleId="25">
    <w:name w:val="table of figures"/>
    <w:basedOn w:val="1"/>
    <w:next w:val="1"/>
    <w:semiHidden/>
    <w:qFormat/>
    <w:uiPriority w:val="0"/>
    <w:pPr>
      <w:adjustRightInd/>
      <w:spacing w:line="240" w:lineRule="auto"/>
      <w:jc w:val="left"/>
    </w:pPr>
    <w:rPr>
      <w:szCs w:val="24"/>
    </w:rPr>
  </w:style>
  <w:style w:type="paragraph" w:styleId="26">
    <w:name w:val="toc 2"/>
    <w:basedOn w:val="1"/>
    <w:next w:val="1"/>
    <w:unhideWhenUsed/>
    <w:qFormat/>
    <w:uiPriority w:val="39"/>
    <w:pPr>
      <w:tabs>
        <w:tab w:val="right" w:leader="dot" w:pos="9344"/>
      </w:tabs>
      <w:spacing w:line="300" w:lineRule="exact"/>
      <w:ind w:left="210"/>
    </w:pPr>
    <w:rPr>
      <w:rFonts w:ascii="宋体"/>
    </w:rPr>
  </w:style>
  <w:style w:type="paragraph" w:styleId="27">
    <w:name w:val="Title"/>
    <w:basedOn w:val="1"/>
    <w:link w:val="52"/>
    <w:qFormat/>
    <w:uiPriority w:val="0"/>
    <w:pPr>
      <w:spacing w:before="240" w:after="60"/>
      <w:jc w:val="center"/>
      <w:outlineLvl w:val="0"/>
    </w:pPr>
    <w:rPr>
      <w:rFonts w:ascii="Arial" w:hAnsi="Arial" w:cs="Arial"/>
      <w:b/>
      <w:bCs/>
      <w:sz w:val="32"/>
      <w:szCs w:val="32"/>
    </w:rPr>
  </w:style>
  <w:style w:type="paragraph" w:styleId="28">
    <w:name w:val="annotation subject"/>
    <w:basedOn w:val="13"/>
    <w:next w:val="13"/>
    <w:link w:val="235"/>
    <w:semiHidden/>
    <w:unhideWhenUsed/>
    <w:qFormat/>
    <w:uiPriority w:val="99"/>
    <w:rPr>
      <w:b/>
      <w:bCs/>
    </w:rPr>
  </w:style>
  <w:style w:type="table" w:styleId="30">
    <w:name w:val="Table Grid"/>
    <w:basedOn w:val="2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qFormat/>
    <w:uiPriority w:val="22"/>
    <w:rPr>
      <w:b/>
      <w:bCs/>
    </w:rPr>
  </w:style>
  <w:style w:type="character" w:styleId="33">
    <w:name w:val="page number"/>
    <w:qFormat/>
    <w:uiPriority w:val="0"/>
    <w:rPr>
      <w:rFonts w:ascii="宋体" w:hAnsi="Times New Roman" w:eastAsia="宋体"/>
      <w:sz w:val="18"/>
    </w:rPr>
  </w:style>
  <w:style w:type="character" w:styleId="34">
    <w:name w:val="Emphasis"/>
    <w:qFormat/>
    <w:uiPriority w:val="20"/>
    <w:rPr>
      <w:i/>
      <w:iCs/>
    </w:rPr>
  </w:style>
  <w:style w:type="character" w:styleId="35">
    <w:name w:val="Hyperlink"/>
    <w:qFormat/>
    <w:uiPriority w:val="99"/>
    <w:rPr>
      <w:rFonts w:ascii="宋体" w:hAnsi="Times New Roman" w:eastAsia="宋体"/>
      <w:color w:val="auto"/>
      <w:spacing w:val="0"/>
      <w:w w:val="100"/>
      <w:position w:val="0"/>
      <w:sz w:val="21"/>
      <w:u w:val="none"/>
      <w:vertAlign w:val="baseline"/>
    </w:rPr>
  </w:style>
  <w:style w:type="character" w:styleId="36">
    <w:name w:val="annotation reference"/>
    <w:basedOn w:val="31"/>
    <w:semiHidden/>
    <w:unhideWhenUsed/>
    <w:qFormat/>
    <w:uiPriority w:val="99"/>
    <w:rPr>
      <w:sz w:val="21"/>
      <w:szCs w:val="21"/>
    </w:rPr>
  </w:style>
  <w:style w:type="character" w:styleId="37">
    <w:name w:val="footnote reference"/>
    <w:semiHidden/>
    <w:qFormat/>
    <w:uiPriority w:val="0"/>
    <w:rPr>
      <w:rFonts w:ascii="宋体" w:hAnsi="宋体" w:eastAsia="宋体" w:cs="Times New Roman"/>
      <w:spacing w:val="0"/>
      <w:sz w:val="18"/>
      <w:vertAlign w:val="superscript"/>
    </w:rPr>
  </w:style>
  <w:style w:type="character" w:customStyle="1" w:styleId="38">
    <w:name w:val="标题 1 Char"/>
    <w:link w:val="2"/>
    <w:qFormat/>
    <w:uiPriority w:val="0"/>
    <w:rPr>
      <w:b/>
      <w:bCs/>
      <w:kern w:val="44"/>
      <w:sz w:val="44"/>
      <w:szCs w:val="44"/>
    </w:rPr>
  </w:style>
  <w:style w:type="character" w:customStyle="1" w:styleId="39">
    <w:name w:val="标题 2 Char"/>
    <w:link w:val="3"/>
    <w:qFormat/>
    <w:uiPriority w:val="0"/>
    <w:rPr>
      <w:rFonts w:ascii="Arial" w:hAnsi="Arial" w:eastAsia="黑体"/>
      <w:b/>
      <w:bCs/>
      <w:kern w:val="2"/>
      <w:sz w:val="32"/>
      <w:szCs w:val="32"/>
    </w:rPr>
  </w:style>
  <w:style w:type="character" w:customStyle="1" w:styleId="40">
    <w:name w:val="标题 3 Char"/>
    <w:link w:val="4"/>
    <w:qFormat/>
    <w:uiPriority w:val="0"/>
    <w:rPr>
      <w:b/>
      <w:bCs/>
      <w:kern w:val="2"/>
      <w:sz w:val="32"/>
      <w:szCs w:val="32"/>
    </w:rPr>
  </w:style>
  <w:style w:type="character" w:customStyle="1" w:styleId="41">
    <w:name w:val="标题 4 Char"/>
    <w:link w:val="5"/>
    <w:qFormat/>
    <w:uiPriority w:val="0"/>
    <w:rPr>
      <w:rFonts w:ascii="Arial" w:hAnsi="Arial" w:eastAsia="黑体"/>
      <w:b/>
      <w:bCs/>
      <w:kern w:val="2"/>
      <w:sz w:val="28"/>
      <w:szCs w:val="28"/>
    </w:rPr>
  </w:style>
  <w:style w:type="character" w:customStyle="1" w:styleId="42">
    <w:name w:val="标题 5 Char"/>
    <w:link w:val="6"/>
    <w:qFormat/>
    <w:uiPriority w:val="0"/>
    <w:rPr>
      <w:b/>
      <w:bCs/>
      <w:kern w:val="2"/>
      <w:sz w:val="28"/>
      <w:szCs w:val="28"/>
    </w:rPr>
  </w:style>
  <w:style w:type="character" w:customStyle="1" w:styleId="43">
    <w:name w:val="标题 6 Char"/>
    <w:link w:val="7"/>
    <w:qFormat/>
    <w:uiPriority w:val="0"/>
    <w:rPr>
      <w:rFonts w:ascii="Arial" w:hAnsi="Arial" w:eastAsia="黑体"/>
      <w:b/>
      <w:bCs/>
      <w:kern w:val="2"/>
      <w:sz w:val="24"/>
      <w:szCs w:val="24"/>
    </w:rPr>
  </w:style>
  <w:style w:type="character" w:customStyle="1" w:styleId="44">
    <w:name w:val="标题 7 Char"/>
    <w:link w:val="8"/>
    <w:qFormat/>
    <w:uiPriority w:val="0"/>
    <w:rPr>
      <w:b/>
      <w:bCs/>
      <w:kern w:val="2"/>
      <w:sz w:val="24"/>
      <w:szCs w:val="24"/>
    </w:rPr>
  </w:style>
  <w:style w:type="character" w:customStyle="1" w:styleId="45">
    <w:name w:val="标题 8 Char"/>
    <w:link w:val="9"/>
    <w:qFormat/>
    <w:uiPriority w:val="0"/>
    <w:rPr>
      <w:rFonts w:ascii="Arial" w:hAnsi="Arial" w:eastAsia="黑体"/>
      <w:kern w:val="2"/>
      <w:sz w:val="24"/>
      <w:szCs w:val="24"/>
    </w:rPr>
  </w:style>
  <w:style w:type="character" w:customStyle="1" w:styleId="46">
    <w:name w:val="标题 9 Char"/>
    <w:link w:val="10"/>
    <w:qFormat/>
    <w:uiPriority w:val="0"/>
    <w:rPr>
      <w:rFonts w:ascii="Arial" w:hAnsi="Arial" w:eastAsia="黑体"/>
      <w:kern w:val="2"/>
      <w:sz w:val="21"/>
      <w:szCs w:val="21"/>
    </w:rPr>
  </w:style>
  <w:style w:type="character" w:customStyle="1" w:styleId="47">
    <w:name w:val="页眉 Char"/>
    <w:link w:val="20"/>
    <w:qFormat/>
    <w:uiPriority w:val="99"/>
    <w:rPr>
      <w:kern w:val="2"/>
      <w:sz w:val="18"/>
      <w:szCs w:val="18"/>
    </w:rPr>
  </w:style>
  <w:style w:type="character" w:customStyle="1" w:styleId="48">
    <w:name w:val="页脚 Char"/>
    <w:link w:val="19"/>
    <w:qFormat/>
    <w:uiPriority w:val="99"/>
    <w:rPr>
      <w:rFonts w:ascii="宋体"/>
      <w:kern w:val="2"/>
      <w:sz w:val="18"/>
      <w:szCs w:val="18"/>
    </w:rPr>
  </w:style>
  <w:style w:type="character" w:customStyle="1" w:styleId="49">
    <w:name w:val="批注框文本 Char"/>
    <w:link w:val="18"/>
    <w:semiHidden/>
    <w:qFormat/>
    <w:uiPriority w:val="99"/>
    <w:rPr>
      <w:kern w:val="2"/>
      <w:sz w:val="18"/>
      <w:szCs w:val="18"/>
    </w:rPr>
  </w:style>
  <w:style w:type="paragraph" w:styleId="50">
    <w:name w:val="Quote"/>
    <w:basedOn w:val="1"/>
    <w:next w:val="1"/>
    <w:link w:val="51"/>
    <w:qFormat/>
    <w:uiPriority w:val="29"/>
    <w:rPr>
      <w:i/>
      <w:iCs/>
      <w:color w:val="000000"/>
    </w:rPr>
  </w:style>
  <w:style w:type="character" w:customStyle="1" w:styleId="51">
    <w:name w:val="引用 Char"/>
    <w:link w:val="50"/>
    <w:qFormat/>
    <w:uiPriority w:val="29"/>
    <w:rPr>
      <w:i/>
      <w:iCs/>
      <w:color w:val="000000"/>
      <w:kern w:val="2"/>
      <w:sz w:val="21"/>
      <w:szCs w:val="21"/>
    </w:rPr>
  </w:style>
  <w:style w:type="character" w:customStyle="1" w:styleId="52">
    <w:name w:val="标题 Char"/>
    <w:link w:val="27"/>
    <w:qFormat/>
    <w:uiPriority w:val="0"/>
    <w:rPr>
      <w:rFonts w:ascii="Arial" w:hAnsi="Arial" w:cs="Arial"/>
      <w:b/>
      <w:bCs/>
      <w:kern w:val="2"/>
      <w:sz w:val="32"/>
      <w:szCs w:val="32"/>
    </w:rPr>
  </w:style>
  <w:style w:type="paragraph" w:customStyle="1" w:styleId="53">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4">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5">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6">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7">
    <w:name w:val="标准书眉一"/>
    <w:qFormat/>
    <w:uiPriority w:val="0"/>
    <w:pPr>
      <w:jc w:val="both"/>
    </w:pPr>
    <w:rPr>
      <w:rFonts w:ascii="Times New Roman" w:hAnsi="Times New Roman" w:eastAsia="宋体" w:cs="Times New Roman"/>
      <w:lang w:val="en-US" w:eastAsia="zh-CN" w:bidi="ar-SA"/>
    </w:rPr>
  </w:style>
  <w:style w:type="paragraph" w:customStyle="1" w:styleId="58">
    <w:name w:val="标准文件_ICS"/>
    <w:basedOn w:val="1"/>
    <w:qFormat/>
    <w:uiPriority w:val="0"/>
    <w:pPr>
      <w:spacing w:line="0" w:lineRule="atLeast"/>
    </w:pPr>
    <w:rPr>
      <w:rFonts w:ascii="黑体" w:hAnsi="宋体" w:eastAsia="黑体"/>
    </w:rPr>
  </w:style>
  <w:style w:type="paragraph" w:customStyle="1" w:styleId="59">
    <w:name w:val="标准文件_标准正文"/>
    <w:basedOn w:val="1"/>
    <w:next w:val="60"/>
    <w:qFormat/>
    <w:uiPriority w:val="0"/>
    <w:pPr>
      <w:snapToGrid w:val="0"/>
      <w:ind w:firstLine="200" w:firstLineChars="200"/>
    </w:pPr>
    <w:rPr>
      <w:kern w:val="0"/>
    </w:rPr>
  </w:style>
  <w:style w:type="paragraph" w:customStyle="1" w:styleId="60">
    <w:name w:val="标准文件_段"/>
    <w:link w:val="188"/>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1">
    <w:name w:val="标准文件_版本"/>
    <w:basedOn w:val="59"/>
    <w:qFormat/>
    <w:uiPriority w:val="0"/>
    <w:pPr>
      <w:adjustRightInd/>
      <w:snapToGrid/>
      <w:ind w:firstLine="0" w:firstLineChars="0"/>
    </w:pPr>
    <w:rPr>
      <w:rFonts w:ascii="宋体" w:hAnsi="宋体"/>
      <w:kern w:val="2"/>
    </w:rPr>
  </w:style>
  <w:style w:type="paragraph" w:customStyle="1" w:styleId="62">
    <w:name w:val="标准文件_标准部门"/>
    <w:basedOn w:val="1"/>
    <w:qFormat/>
    <w:uiPriority w:val="0"/>
    <w:pPr>
      <w:jc w:val="center"/>
    </w:pPr>
    <w:rPr>
      <w:rFonts w:ascii="黑体" w:eastAsia="黑体"/>
      <w:kern w:val="0"/>
      <w:sz w:val="44"/>
    </w:rPr>
  </w:style>
  <w:style w:type="paragraph" w:customStyle="1" w:styleId="63">
    <w:name w:val="标准文件_标准代替"/>
    <w:basedOn w:val="1"/>
    <w:next w:val="1"/>
    <w:qFormat/>
    <w:uiPriority w:val="0"/>
    <w:pPr>
      <w:spacing w:line="310" w:lineRule="exact"/>
      <w:jc w:val="right"/>
    </w:pPr>
    <w:rPr>
      <w:rFonts w:ascii="宋体" w:hAnsi="宋体"/>
      <w:kern w:val="0"/>
    </w:rPr>
  </w:style>
  <w:style w:type="paragraph" w:customStyle="1" w:styleId="64">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5">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6">
    <w:name w:val="标准文件_页眉偶数页"/>
    <w:basedOn w:val="65"/>
    <w:next w:val="1"/>
    <w:qFormat/>
    <w:uiPriority w:val="0"/>
    <w:pPr>
      <w:jc w:val="left"/>
    </w:pPr>
  </w:style>
  <w:style w:type="paragraph" w:customStyle="1" w:styleId="67">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8">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9">
    <w:name w:val="标准文件_二级条标题"/>
    <w:next w:val="60"/>
    <w:qFormat/>
    <w:uiPriority w:val="0"/>
    <w:pPr>
      <w:widowControl w:val="0"/>
      <w:numPr>
        <w:ilvl w:val="3"/>
        <w:numId w:val="2"/>
      </w:numPr>
      <w:spacing w:before="50" w:beforeLines="50" w:after="50" w:afterLines="50"/>
      <w:ind w:left="0"/>
      <w:jc w:val="both"/>
      <w:outlineLvl w:val="2"/>
    </w:pPr>
    <w:rPr>
      <w:rFonts w:ascii="黑体" w:hAnsi="Times New Roman" w:eastAsia="黑体" w:cs="Times New Roman"/>
      <w:sz w:val="21"/>
      <w:lang w:val="en-US" w:eastAsia="zh-CN" w:bidi="ar-SA"/>
    </w:rPr>
  </w:style>
  <w:style w:type="character" w:customStyle="1" w:styleId="70">
    <w:name w:val="标准文件_发布"/>
    <w:qFormat/>
    <w:uiPriority w:val="0"/>
    <w:rPr>
      <w:rFonts w:ascii="黑体" w:eastAsia="黑体"/>
      <w:spacing w:val="0"/>
      <w:w w:val="100"/>
      <w:position w:val="3"/>
      <w:sz w:val="28"/>
    </w:rPr>
  </w:style>
  <w:style w:type="paragraph" w:customStyle="1" w:styleId="71">
    <w:name w:val="标准文件_方框数字列项"/>
    <w:basedOn w:val="60"/>
    <w:qFormat/>
    <w:uiPriority w:val="0"/>
    <w:pPr>
      <w:numPr>
        <w:ilvl w:val="0"/>
        <w:numId w:val="3"/>
      </w:numPr>
      <w:ind w:firstLine="0" w:firstLineChars="0"/>
    </w:pPr>
  </w:style>
  <w:style w:type="paragraph" w:customStyle="1" w:styleId="72">
    <w:name w:val="标准文件_封面标准编号"/>
    <w:basedOn w:val="1"/>
    <w:next w:val="63"/>
    <w:qFormat/>
    <w:uiPriority w:val="0"/>
    <w:pPr>
      <w:spacing w:line="310" w:lineRule="exact"/>
      <w:jc w:val="right"/>
    </w:pPr>
    <w:rPr>
      <w:rFonts w:ascii="黑体" w:eastAsia="黑体"/>
      <w:kern w:val="0"/>
      <w:sz w:val="28"/>
    </w:rPr>
  </w:style>
  <w:style w:type="paragraph" w:customStyle="1" w:styleId="73">
    <w:name w:val="标准文件_封面标准分类号"/>
    <w:basedOn w:val="1"/>
    <w:qFormat/>
    <w:uiPriority w:val="0"/>
    <w:rPr>
      <w:rFonts w:ascii="黑体" w:eastAsia="黑体"/>
      <w:b/>
      <w:kern w:val="0"/>
      <w:sz w:val="28"/>
    </w:rPr>
  </w:style>
  <w:style w:type="paragraph" w:customStyle="1" w:styleId="74">
    <w:name w:val="标准文件_封面标准名称"/>
    <w:basedOn w:val="1"/>
    <w:qFormat/>
    <w:uiPriority w:val="0"/>
    <w:pPr>
      <w:spacing w:line="240" w:lineRule="auto"/>
      <w:jc w:val="center"/>
    </w:pPr>
    <w:rPr>
      <w:rFonts w:ascii="黑体" w:eastAsia="黑体"/>
      <w:kern w:val="0"/>
      <w:sz w:val="52"/>
    </w:rPr>
  </w:style>
  <w:style w:type="paragraph" w:customStyle="1" w:styleId="75">
    <w:name w:val="标准文件_封面标准英文名称"/>
    <w:basedOn w:val="1"/>
    <w:qFormat/>
    <w:uiPriority w:val="0"/>
    <w:pPr>
      <w:spacing w:line="240" w:lineRule="auto"/>
      <w:jc w:val="center"/>
    </w:pPr>
    <w:rPr>
      <w:rFonts w:ascii="黑体" w:eastAsia="黑体"/>
      <w:b/>
      <w:sz w:val="28"/>
    </w:rPr>
  </w:style>
  <w:style w:type="paragraph" w:customStyle="1" w:styleId="76">
    <w:name w:val="标准文件_封面发布日期"/>
    <w:basedOn w:val="1"/>
    <w:qFormat/>
    <w:uiPriority w:val="0"/>
    <w:pPr>
      <w:spacing w:line="310" w:lineRule="exact"/>
    </w:pPr>
    <w:rPr>
      <w:rFonts w:ascii="黑体" w:eastAsia="黑体"/>
      <w:kern w:val="0"/>
      <w:sz w:val="28"/>
    </w:rPr>
  </w:style>
  <w:style w:type="paragraph" w:customStyle="1" w:styleId="77">
    <w:name w:val="标准文件_封面密级"/>
    <w:basedOn w:val="1"/>
    <w:qFormat/>
    <w:uiPriority w:val="0"/>
    <w:rPr>
      <w:rFonts w:eastAsia="黑体"/>
      <w:sz w:val="32"/>
    </w:rPr>
  </w:style>
  <w:style w:type="paragraph" w:customStyle="1" w:styleId="78">
    <w:name w:val="标准文件_封面实施日期"/>
    <w:basedOn w:val="1"/>
    <w:qFormat/>
    <w:uiPriority w:val="0"/>
    <w:pPr>
      <w:spacing w:line="310" w:lineRule="exact"/>
      <w:jc w:val="right"/>
    </w:pPr>
    <w:rPr>
      <w:rFonts w:ascii="黑体" w:eastAsia="黑体"/>
      <w:sz w:val="28"/>
    </w:rPr>
  </w:style>
  <w:style w:type="paragraph" w:customStyle="1" w:styleId="79">
    <w:name w:val="标准文件_封面抬头"/>
    <w:basedOn w:val="60"/>
    <w:qFormat/>
    <w:uiPriority w:val="0"/>
    <w:pPr>
      <w:adjustRightInd w:val="0"/>
      <w:spacing w:line="800" w:lineRule="exact"/>
      <w:ind w:firstLine="0" w:firstLineChars="0"/>
      <w:jc w:val="distribute"/>
    </w:pPr>
    <w:rPr>
      <w:rFonts w:ascii="黑体" w:eastAsia="黑体"/>
      <w:b/>
      <w:sz w:val="64"/>
    </w:rPr>
  </w:style>
  <w:style w:type="paragraph" w:customStyle="1" w:styleId="80">
    <w:name w:val="标准文件_附录标识"/>
    <w:next w:val="60"/>
    <w:qFormat/>
    <w:uiPriority w:val="0"/>
    <w:pPr>
      <w:numPr>
        <w:ilvl w:val="0"/>
        <w:numId w:val="4"/>
      </w:numPr>
      <w:shd w:val="clear" w:color="FFFFFF" w:fill="FFFFFF"/>
      <w:tabs>
        <w:tab w:val="left" w:pos="6406"/>
      </w:tabs>
      <w:spacing w:before="560" w:after="50" w:afterLines="50"/>
      <w:ind w:left="0"/>
      <w:jc w:val="center"/>
      <w:outlineLvl w:val="0"/>
    </w:pPr>
    <w:rPr>
      <w:rFonts w:ascii="黑体" w:hAnsi="Times New Roman" w:eastAsia="黑体" w:cs="Times New Roman"/>
      <w:sz w:val="21"/>
      <w:lang w:val="en-US" w:eastAsia="zh-CN" w:bidi="ar-SA"/>
    </w:rPr>
  </w:style>
  <w:style w:type="paragraph" w:customStyle="1" w:styleId="81">
    <w:name w:val="标准文件_附录表标题"/>
    <w:next w:val="60"/>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82">
    <w:name w:val="标准文件_附录一级条标题"/>
    <w:next w:val="60"/>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3">
    <w:name w:val="标准文件_附录二级条标题"/>
    <w:basedOn w:val="82"/>
    <w:next w:val="60"/>
    <w:qFormat/>
    <w:uiPriority w:val="0"/>
    <w:pPr>
      <w:widowControl/>
      <w:numPr>
        <w:ilvl w:val="2"/>
      </w:numPr>
      <w:wordWrap w:val="0"/>
      <w:overflowPunct w:val="0"/>
      <w:autoSpaceDE w:val="0"/>
      <w:autoSpaceDN w:val="0"/>
      <w:textAlignment w:val="baseline"/>
      <w:outlineLvl w:val="3"/>
    </w:pPr>
  </w:style>
  <w:style w:type="paragraph" w:customStyle="1" w:styleId="84">
    <w:name w:val="标准文件_附录公式"/>
    <w:basedOn w:val="59"/>
    <w:next w:val="59"/>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5">
    <w:name w:val="标准文件_附录三级条标题"/>
    <w:next w:val="60"/>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6">
    <w:name w:val="标准文件_附录四级条标题"/>
    <w:next w:val="60"/>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7">
    <w:name w:val="标准文件_附录图标题"/>
    <w:next w:val="60"/>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8">
    <w:name w:val="标准文件_附录五级条标题"/>
    <w:next w:val="60"/>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9">
    <w:name w:val="标准文件_附录英文标识"/>
    <w:next w:val="14"/>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90">
    <w:name w:val="正文文本 Char"/>
    <w:link w:val="14"/>
    <w:qFormat/>
    <w:uiPriority w:val="0"/>
    <w:rPr>
      <w:kern w:val="2"/>
      <w:sz w:val="21"/>
      <w:szCs w:val="21"/>
    </w:rPr>
  </w:style>
  <w:style w:type="paragraph" w:customStyle="1" w:styleId="91">
    <w:name w:val="标准文件_附录章标题"/>
    <w:next w:val="60"/>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2">
    <w:name w:val="标准文件_公式后的破折号"/>
    <w:basedOn w:val="60"/>
    <w:next w:val="60"/>
    <w:qFormat/>
    <w:uiPriority w:val="0"/>
    <w:pPr>
      <w:ind w:left="488" w:leftChars="200" w:hanging="289" w:hangingChars="290"/>
    </w:pPr>
  </w:style>
  <w:style w:type="paragraph" w:customStyle="1" w:styleId="93">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4">
    <w:name w:val="标准文件_目次、标准名称标题"/>
    <w:basedOn w:val="93"/>
    <w:next w:val="60"/>
    <w:qFormat/>
    <w:uiPriority w:val="0"/>
    <w:pPr>
      <w:spacing w:line="460" w:lineRule="exact"/>
      <w:ind w:left="0" w:firstLine="0"/>
    </w:pPr>
  </w:style>
  <w:style w:type="paragraph" w:customStyle="1" w:styleId="95">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6">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7">
    <w:name w:val="标准文件_破折号列项（二级）"/>
    <w:basedOn w:val="96"/>
    <w:qFormat/>
    <w:uiPriority w:val="0"/>
    <w:pPr>
      <w:numPr>
        <w:numId w:val="10"/>
      </w:numPr>
    </w:pPr>
  </w:style>
  <w:style w:type="paragraph" w:customStyle="1" w:styleId="98">
    <w:name w:val="标准文件_三级条标题"/>
    <w:basedOn w:val="69"/>
    <w:next w:val="60"/>
    <w:qFormat/>
    <w:uiPriority w:val="0"/>
    <w:pPr>
      <w:widowControl/>
      <w:numPr>
        <w:ilvl w:val="4"/>
      </w:numPr>
      <w:ind w:left="709"/>
      <w:outlineLvl w:val="3"/>
    </w:pPr>
  </w:style>
  <w:style w:type="character" w:customStyle="1" w:styleId="99">
    <w:name w:val="Subtle Reference"/>
    <w:qFormat/>
    <w:uiPriority w:val="31"/>
    <w:rPr>
      <w:smallCaps/>
      <w:color w:val="C0504D"/>
      <w:u w:val="single"/>
    </w:rPr>
  </w:style>
  <w:style w:type="paragraph" w:customStyle="1" w:styleId="100">
    <w:name w:val="标准文件_示例后续"/>
    <w:basedOn w:val="1"/>
    <w:qFormat/>
    <w:uiPriority w:val="0"/>
    <w:pPr>
      <w:adjustRightInd/>
      <w:spacing w:line="240" w:lineRule="auto"/>
      <w:ind w:firstLine="200" w:firstLineChars="200"/>
    </w:pPr>
    <w:rPr>
      <w:sz w:val="18"/>
      <w:szCs w:val="24"/>
    </w:rPr>
  </w:style>
  <w:style w:type="paragraph" w:customStyle="1" w:styleId="101">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2">
    <w:name w:val="标准文件_四级条标题"/>
    <w:next w:val="60"/>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3">
    <w:name w:val="脚注文本 Char"/>
    <w:link w:val="23"/>
    <w:semiHidden/>
    <w:qFormat/>
    <w:uiPriority w:val="0"/>
    <w:rPr>
      <w:rFonts w:ascii="宋体"/>
      <w:kern w:val="2"/>
      <w:sz w:val="18"/>
      <w:szCs w:val="18"/>
    </w:rPr>
  </w:style>
  <w:style w:type="paragraph" w:customStyle="1" w:styleId="104">
    <w:name w:val="标准文件_条文脚注"/>
    <w:basedOn w:val="23"/>
    <w:qFormat/>
    <w:uiPriority w:val="0"/>
    <w:pPr>
      <w:adjustRightInd w:val="0"/>
      <w:spacing w:line="240" w:lineRule="auto"/>
      <w:ind w:left="0" w:leftChars="0" w:firstLine="200" w:firstLineChars="200"/>
      <w:jc w:val="both"/>
    </w:pPr>
    <w:rPr>
      <w:rFonts w:hAnsi="宋体"/>
    </w:rPr>
  </w:style>
  <w:style w:type="paragraph" w:customStyle="1" w:styleId="105">
    <w:name w:val="标准文件_图表脚注"/>
    <w:basedOn w:val="1"/>
    <w:next w:val="60"/>
    <w:qFormat/>
    <w:uiPriority w:val="0"/>
    <w:pPr>
      <w:numPr>
        <w:ilvl w:val="0"/>
        <w:numId w:val="12"/>
      </w:numPr>
      <w:spacing w:line="240" w:lineRule="auto"/>
      <w:jc w:val="left"/>
    </w:pPr>
    <w:rPr>
      <w:rFonts w:ascii="宋体" w:hAnsi="宋体"/>
      <w:sz w:val="18"/>
    </w:rPr>
  </w:style>
  <w:style w:type="character" w:customStyle="1" w:styleId="106">
    <w:name w:val="标准文件_图表脚注内容"/>
    <w:qFormat/>
    <w:uiPriority w:val="0"/>
    <w:rPr>
      <w:rFonts w:ascii="宋体" w:hAnsi="宋体" w:eastAsia="宋体" w:cs="Times New Roman"/>
      <w:spacing w:val="0"/>
      <w:sz w:val="18"/>
      <w:vertAlign w:val="superscript"/>
    </w:rPr>
  </w:style>
  <w:style w:type="paragraph" w:customStyle="1" w:styleId="107">
    <w:name w:val="标准文件_五级条标题"/>
    <w:next w:val="60"/>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8">
    <w:name w:val="标准文件_章标题"/>
    <w:next w:val="60"/>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9">
    <w:name w:val="标准文件_一级条标题"/>
    <w:basedOn w:val="108"/>
    <w:next w:val="60"/>
    <w:qFormat/>
    <w:uiPriority w:val="0"/>
    <w:pPr>
      <w:numPr>
        <w:ilvl w:val="2"/>
      </w:numPr>
      <w:spacing w:before="50" w:beforeLines="50" w:after="50" w:afterLines="50"/>
      <w:outlineLvl w:val="1"/>
    </w:pPr>
  </w:style>
  <w:style w:type="paragraph" w:customStyle="1" w:styleId="110">
    <w:name w:val="标准文件_一致程度"/>
    <w:basedOn w:val="1"/>
    <w:qFormat/>
    <w:uiPriority w:val="0"/>
    <w:pPr>
      <w:spacing w:line="440" w:lineRule="exact"/>
      <w:jc w:val="center"/>
    </w:pPr>
    <w:rPr>
      <w:sz w:val="28"/>
    </w:rPr>
  </w:style>
  <w:style w:type="paragraph" w:customStyle="1" w:styleId="111">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2">
    <w:name w:val="标准文件_英文图表脚注"/>
    <w:basedOn w:val="59"/>
    <w:qFormat/>
    <w:uiPriority w:val="0"/>
    <w:pPr>
      <w:widowControl/>
      <w:adjustRightInd/>
      <w:snapToGrid/>
      <w:spacing w:line="240" w:lineRule="auto"/>
      <w:ind w:left="79" w:hanging="79" w:hangingChars="80"/>
    </w:pPr>
    <w:rPr>
      <w:rFonts w:ascii="宋体" w:hAnsi="宋体"/>
    </w:rPr>
  </w:style>
  <w:style w:type="paragraph" w:customStyle="1" w:styleId="113">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4">
    <w:name w:val="标准文件_英文注："/>
    <w:basedOn w:val="1"/>
    <w:next w:val="60"/>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5">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6">
    <w:name w:val="标准文件_正文表标题"/>
    <w:next w:val="60"/>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7">
    <w:name w:val="标准文件_正文公式"/>
    <w:basedOn w:val="1"/>
    <w:next w:val="59"/>
    <w:qFormat/>
    <w:uiPriority w:val="0"/>
    <w:pPr>
      <w:tabs>
        <w:tab w:val="center" w:pos="4678"/>
        <w:tab w:val="right" w:leader="middleDot" w:pos="9356"/>
      </w:tabs>
      <w:spacing w:line="240" w:lineRule="auto"/>
    </w:pPr>
    <w:rPr>
      <w:rFonts w:ascii="宋体" w:hAnsi="宋体"/>
    </w:rPr>
  </w:style>
  <w:style w:type="paragraph" w:customStyle="1" w:styleId="118">
    <w:name w:val="标准文件_正文图标题"/>
    <w:next w:val="60"/>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9">
    <w:name w:val="标准文件_正文英文表标题"/>
    <w:next w:val="60"/>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20">
    <w:name w:val="标准文件_正文英文图标题"/>
    <w:next w:val="60"/>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1">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22">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3">
    <w:name w:val="发布部门"/>
    <w:next w:val="60"/>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4">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5">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6">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7">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8">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9">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30">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1">
    <w:name w:val="封面正文"/>
    <w:qFormat/>
    <w:uiPriority w:val="0"/>
    <w:pPr>
      <w:jc w:val="both"/>
    </w:pPr>
    <w:rPr>
      <w:rFonts w:ascii="Times New Roman" w:hAnsi="Times New Roman" w:eastAsia="宋体" w:cs="Times New Roman"/>
      <w:lang w:val="en-US" w:eastAsia="zh-CN" w:bidi="ar-SA"/>
    </w:rPr>
  </w:style>
  <w:style w:type="paragraph" w:customStyle="1" w:styleId="132">
    <w:name w:val="附录二级无标题条"/>
    <w:basedOn w:val="1"/>
    <w:next w:val="60"/>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3">
    <w:name w:val="附录三级无标题条"/>
    <w:basedOn w:val="132"/>
    <w:next w:val="60"/>
    <w:qFormat/>
    <w:uiPriority w:val="0"/>
    <w:pPr>
      <w:outlineLvl w:val="4"/>
    </w:pPr>
  </w:style>
  <w:style w:type="paragraph" w:customStyle="1" w:styleId="134">
    <w:name w:val="附录四级无标题条"/>
    <w:basedOn w:val="133"/>
    <w:next w:val="60"/>
    <w:qFormat/>
    <w:uiPriority w:val="0"/>
    <w:pPr>
      <w:outlineLvl w:val="5"/>
    </w:pPr>
  </w:style>
  <w:style w:type="paragraph" w:customStyle="1" w:styleId="135">
    <w:name w:val="附录图"/>
    <w:next w:val="60"/>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6">
    <w:name w:val="标准文件_一级项"/>
    <w:qFormat/>
    <w:uiPriority w:val="0"/>
    <w:pPr>
      <w:numPr>
        <w:ilvl w:val="0"/>
        <w:numId w:val="21"/>
      </w:numPr>
      <w:tabs>
        <w:tab w:val="left" w:pos="851"/>
        <w:tab w:val="clear" w:pos="1134"/>
      </w:tabs>
      <w:ind w:left="851"/>
    </w:pPr>
    <w:rPr>
      <w:rFonts w:ascii="宋体" w:hAnsi="Times New Roman" w:eastAsia="宋体" w:cs="Times New Roman"/>
      <w:sz w:val="21"/>
      <w:lang w:val="en-US" w:eastAsia="zh-CN" w:bidi="ar-SA"/>
    </w:rPr>
  </w:style>
  <w:style w:type="paragraph" w:customStyle="1" w:styleId="137">
    <w:name w:val="附录五级无标题条"/>
    <w:basedOn w:val="134"/>
    <w:next w:val="60"/>
    <w:qFormat/>
    <w:uiPriority w:val="0"/>
    <w:pPr>
      <w:outlineLvl w:val="6"/>
    </w:pPr>
  </w:style>
  <w:style w:type="paragraph" w:customStyle="1" w:styleId="138">
    <w:name w:val="附录性质"/>
    <w:basedOn w:val="1"/>
    <w:qFormat/>
    <w:uiPriority w:val="0"/>
    <w:pPr>
      <w:widowControl/>
      <w:adjustRightInd/>
      <w:jc w:val="center"/>
    </w:pPr>
    <w:rPr>
      <w:rFonts w:ascii="黑体" w:eastAsia="黑体"/>
    </w:rPr>
  </w:style>
  <w:style w:type="paragraph" w:customStyle="1" w:styleId="139">
    <w:name w:val="附录一级无标题条"/>
    <w:basedOn w:val="91"/>
    <w:next w:val="60"/>
    <w:qFormat/>
    <w:uiPriority w:val="0"/>
    <w:pPr>
      <w:autoSpaceDN w:val="0"/>
      <w:outlineLvl w:val="2"/>
    </w:pPr>
    <w:rPr>
      <w:rFonts w:ascii="宋体" w:hAnsi="宋体" w:eastAsia="宋体"/>
    </w:rPr>
  </w:style>
  <w:style w:type="character" w:customStyle="1" w:styleId="140">
    <w:name w:val="个人答复风格"/>
    <w:qFormat/>
    <w:uiPriority w:val="0"/>
    <w:rPr>
      <w:rFonts w:ascii="Arial" w:hAnsi="Arial" w:eastAsia="宋体" w:cs="Arial"/>
      <w:color w:val="auto"/>
      <w:spacing w:val="0"/>
      <w:sz w:val="20"/>
    </w:rPr>
  </w:style>
  <w:style w:type="character" w:customStyle="1" w:styleId="141">
    <w:name w:val="个人撰写风格"/>
    <w:qFormat/>
    <w:uiPriority w:val="0"/>
    <w:rPr>
      <w:rFonts w:ascii="Arial" w:hAnsi="Arial" w:eastAsia="宋体" w:cs="Arial"/>
      <w:color w:val="auto"/>
      <w:spacing w:val="0"/>
      <w:sz w:val="20"/>
    </w:rPr>
  </w:style>
  <w:style w:type="paragraph" w:customStyle="1" w:styleId="142">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3">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4">
    <w:name w:val="列项·"/>
    <w:basedOn w:val="60"/>
    <w:qFormat/>
    <w:uiPriority w:val="0"/>
    <w:pPr>
      <w:tabs>
        <w:tab w:val="left" w:pos="840"/>
      </w:tabs>
    </w:pPr>
  </w:style>
  <w:style w:type="paragraph" w:customStyle="1" w:styleId="145">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6">
    <w:name w:val="目录 21"/>
    <w:basedOn w:val="1"/>
    <w:next w:val="1"/>
    <w:semiHidden/>
    <w:qFormat/>
    <w:uiPriority w:val="0"/>
    <w:pPr>
      <w:adjustRightInd/>
      <w:spacing w:line="240" w:lineRule="auto"/>
      <w:jc w:val="left"/>
    </w:pPr>
    <w:rPr>
      <w:bCs/>
      <w:iCs/>
    </w:rPr>
  </w:style>
  <w:style w:type="paragraph" w:customStyle="1" w:styleId="147">
    <w:name w:val="目录 31"/>
    <w:basedOn w:val="1"/>
    <w:next w:val="1"/>
    <w:semiHidden/>
    <w:qFormat/>
    <w:uiPriority w:val="0"/>
    <w:pPr>
      <w:spacing w:line="240" w:lineRule="auto"/>
    </w:pPr>
    <w:rPr>
      <w:rFonts w:ascii="宋体" w:hAnsi="宋体"/>
      <w:iCs/>
    </w:rPr>
  </w:style>
  <w:style w:type="paragraph" w:customStyle="1" w:styleId="148">
    <w:name w:val="目录 41"/>
    <w:basedOn w:val="1"/>
    <w:next w:val="1"/>
    <w:semiHidden/>
    <w:qFormat/>
    <w:uiPriority w:val="0"/>
    <w:pPr>
      <w:adjustRightInd/>
      <w:spacing w:line="240" w:lineRule="auto"/>
      <w:jc w:val="left"/>
    </w:pPr>
  </w:style>
  <w:style w:type="paragraph" w:customStyle="1" w:styleId="149">
    <w:name w:val="目录 51"/>
    <w:basedOn w:val="1"/>
    <w:next w:val="1"/>
    <w:semiHidden/>
    <w:qFormat/>
    <w:uiPriority w:val="0"/>
    <w:pPr>
      <w:spacing w:line="240" w:lineRule="auto"/>
    </w:pPr>
    <w:rPr>
      <w:rFonts w:ascii="宋体" w:hAnsi="宋体"/>
    </w:rPr>
  </w:style>
  <w:style w:type="paragraph" w:customStyle="1" w:styleId="150">
    <w:name w:val="目录 61"/>
    <w:basedOn w:val="1"/>
    <w:next w:val="1"/>
    <w:semiHidden/>
    <w:qFormat/>
    <w:uiPriority w:val="0"/>
    <w:pPr>
      <w:adjustRightInd/>
      <w:spacing w:line="240" w:lineRule="auto"/>
      <w:jc w:val="left"/>
    </w:pPr>
  </w:style>
  <w:style w:type="paragraph" w:customStyle="1" w:styleId="151">
    <w:name w:val="目录 71"/>
    <w:basedOn w:val="150"/>
    <w:semiHidden/>
    <w:qFormat/>
    <w:uiPriority w:val="0"/>
    <w:pPr>
      <w:ind w:left="1260"/>
    </w:pPr>
  </w:style>
  <w:style w:type="paragraph" w:customStyle="1" w:styleId="152">
    <w:name w:val="目录 81"/>
    <w:basedOn w:val="151"/>
    <w:semiHidden/>
    <w:qFormat/>
    <w:uiPriority w:val="0"/>
    <w:pPr>
      <w:ind w:left="1470"/>
    </w:pPr>
  </w:style>
  <w:style w:type="paragraph" w:customStyle="1" w:styleId="153">
    <w:name w:val="目录 91"/>
    <w:basedOn w:val="152"/>
    <w:semiHidden/>
    <w:qFormat/>
    <w:uiPriority w:val="0"/>
    <w:pPr>
      <w:ind w:left="1680"/>
    </w:pPr>
  </w:style>
  <w:style w:type="paragraph" w:customStyle="1" w:styleId="154">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5">
    <w:name w:val="其他发布部门"/>
    <w:basedOn w:val="123"/>
    <w:qFormat/>
    <w:uiPriority w:val="0"/>
    <w:pPr>
      <w:framePr/>
      <w:spacing w:line="0" w:lineRule="atLeast"/>
    </w:pPr>
    <w:rPr>
      <w:rFonts w:ascii="黑体" w:eastAsia="黑体"/>
      <w:b w:val="0"/>
    </w:rPr>
  </w:style>
  <w:style w:type="paragraph" w:customStyle="1" w:styleId="156">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7">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8">
    <w:name w:val="实施日期"/>
    <w:basedOn w:val="124"/>
    <w:qFormat/>
    <w:uiPriority w:val="0"/>
    <w:pPr>
      <w:framePr w:hSpace="0" w:xAlign="right"/>
      <w:jc w:val="right"/>
    </w:pPr>
  </w:style>
  <w:style w:type="paragraph" w:customStyle="1" w:styleId="159">
    <w:name w:val="四级无标题条"/>
    <w:basedOn w:val="1"/>
    <w:qFormat/>
    <w:uiPriority w:val="0"/>
    <w:pPr>
      <w:numPr>
        <w:ilvl w:val="5"/>
        <w:numId w:val="20"/>
      </w:numPr>
      <w:adjustRightInd/>
      <w:spacing w:line="240" w:lineRule="auto"/>
    </w:pPr>
    <w:rPr>
      <w:rFonts w:ascii="宋体" w:hAnsi="宋体"/>
      <w:szCs w:val="24"/>
    </w:rPr>
  </w:style>
  <w:style w:type="paragraph" w:customStyle="1" w:styleId="160">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1">
    <w:name w:val="无标题条"/>
    <w:next w:val="60"/>
    <w:qFormat/>
    <w:uiPriority w:val="0"/>
    <w:pPr>
      <w:jc w:val="both"/>
    </w:pPr>
    <w:rPr>
      <w:rFonts w:ascii="宋体" w:hAnsi="宋体" w:eastAsia="宋体" w:cs="Times New Roman"/>
      <w:sz w:val="21"/>
      <w:lang w:val="en-US" w:eastAsia="zh-CN" w:bidi="ar-SA"/>
    </w:rPr>
  </w:style>
  <w:style w:type="paragraph" w:customStyle="1" w:styleId="162">
    <w:name w:val="五级无标题条"/>
    <w:basedOn w:val="1"/>
    <w:qFormat/>
    <w:uiPriority w:val="0"/>
    <w:pPr>
      <w:numPr>
        <w:ilvl w:val="6"/>
        <w:numId w:val="20"/>
      </w:numPr>
      <w:adjustRightInd/>
    </w:pPr>
    <w:rPr>
      <w:szCs w:val="24"/>
    </w:rPr>
  </w:style>
  <w:style w:type="paragraph" w:customStyle="1" w:styleId="163">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4">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5">
    <w:name w:val="注×:后续"/>
    <w:basedOn w:val="164"/>
    <w:qFormat/>
    <w:uiPriority w:val="0"/>
    <w:pPr>
      <w:ind w:left="1406" w:leftChars="0" w:hanging="499" w:firstLineChars="0"/>
    </w:pPr>
  </w:style>
  <w:style w:type="paragraph" w:customStyle="1" w:styleId="166">
    <w:name w:val="标准文件_一级无标题"/>
    <w:basedOn w:val="109"/>
    <w:qFormat/>
    <w:uiPriority w:val="0"/>
    <w:pPr>
      <w:spacing w:before="0" w:beforeLines="0" w:after="0" w:afterLines="0"/>
      <w:outlineLvl w:val="9"/>
    </w:pPr>
    <w:rPr>
      <w:rFonts w:ascii="宋体" w:eastAsia="宋体"/>
    </w:rPr>
  </w:style>
  <w:style w:type="paragraph" w:customStyle="1" w:styleId="167">
    <w:name w:val="标准文件_五级无标题"/>
    <w:basedOn w:val="107"/>
    <w:qFormat/>
    <w:uiPriority w:val="0"/>
    <w:pPr>
      <w:spacing w:before="0" w:beforeLines="0" w:after="0" w:afterLines="0"/>
      <w:outlineLvl w:val="9"/>
    </w:pPr>
    <w:rPr>
      <w:rFonts w:ascii="宋体" w:eastAsia="宋体"/>
    </w:rPr>
  </w:style>
  <w:style w:type="paragraph" w:customStyle="1" w:styleId="168">
    <w:name w:val="标准文件_三级无标题"/>
    <w:basedOn w:val="98"/>
    <w:qFormat/>
    <w:uiPriority w:val="0"/>
    <w:pPr>
      <w:spacing w:before="0" w:beforeLines="0" w:after="0" w:afterLines="0"/>
      <w:ind w:left="0"/>
      <w:outlineLvl w:val="9"/>
    </w:pPr>
    <w:rPr>
      <w:rFonts w:ascii="宋体" w:eastAsia="宋体"/>
    </w:rPr>
  </w:style>
  <w:style w:type="paragraph" w:customStyle="1" w:styleId="169">
    <w:name w:val="标准文件_二级无标题"/>
    <w:basedOn w:val="69"/>
    <w:qFormat/>
    <w:uiPriority w:val="0"/>
    <w:pPr>
      <w:spacing w:before="0" w:beforeLines="0" w:after="0" w:afterLines="0"/>
      <w:outlineLvl w:val="9"/>
    </w:pPr>
    <w:rPr>
      <w:rFonts w:ascii="宋体" w:eastAsia="宋体"/>
    </w:rPr>
  </w:style>
  <w:style w:type="paragraph" w:customStyle="1" w:styleId="170">
    <w:name w:val="标准_四级无标题"/>
    <w:basedOn w:val="102"/>
    <w:next w:val="60"/>
    <w:qFormat/>
    <w:uiPriority w:val="0"/>
    <w:rPr>
      <w:rFonts w:eastAsia="宋体"/>
    </w:rPr>
  </w:style>
  <w:style w:type="paragraph" w:customStyle="1" w:styleId="171">
    <w:name w:val="标准文件_四级无标题"/>
    <w:basedOn w:val="102"/>
    <w:qFormat/>
    <w:uiPriority w:val="0"/>
    <w:pPr>
      <w:spacing w:before="0" w:beforeLines="0" w:after="0" w:afterLines="0"/>
      <w:outlineLvl w:val="9"/>
    </w:pPr>
    <w:rPr>
      <w:rFonts w:ascii="宋体" w:hAnsi="黑体" w:eastAsia="宋体"/>
      <w:szCs w:val="52"/>
    </w:rPr>
  </w:style>
  <w:style w:type="paragraph" w:customStyle="1" w:styleId="172">
    <w:name w:val="标准文件_大写罗马数字编号列项"/>
    <w:basedOn w:val="60"/>
    <w:qFormat/>
    <w:uiPriority w:val="0"/>
    <w:pPr>
      <w:numPr>
        <w:ilvl w:val="0"/>
        <w:numId w:val="23"/>
      </w:numPr>
      <w:ind w:firstLine="0" w:firstLineChars="0"/>
    </w:pPr>
    <w:rPr>
      <w:rFonts w:ascii="Times New Roman" w:cs="Arial"/>
      <w:szCs w:val="28"/>
    </w:rPr>
  </w:style>
  <w:style w:type="paragraph" w:customStyle="1" w:styleId="173">
    <w:name w:val="标准文件_小写罗马数字编号列项"/>
    <w:basedOn w:val="60"/>
    <w:qFormat/>
    <w:uiPriority w:val="0"/>
    <w:pPr>
      <w:numPr>
        <w:ilvl w:val="0"/>
        <w:numId w:val="24"/>
      </w:numPr>
      <w:ind w:firstLine="0" w:firstLineChars="0"/>
    </w:pPr>
    <w:rPr>
      <w:rFonts w:cs="Arial"/>
      <w:szCs w:val="28"/>
    </w:rPr>
  </w:style>
  <w:style w:type="paragraph" w:customStyle="1" w:styleId="174">
    <w:name w:val="标准文件_附录标题"/>
    <w:basedOn w:val="80"/>
    <w:qFormat/>
    <w:uiPriority w:val="0"/>
    <w:pPr>
      <w:numPr>
        <w:numId w:val="0"/>
      </w:numPr>
      <w:spacing w:after="280"/>
      <w:outlineLvl w:val="9"/>
    </w:pPr>
  </w:style>
  <w:style w:type="paragraph" w:customStyle="1" w:styleId="175">
    <w:name w:val="标准文件_二级项"/>
    <w:qFormat/>
    <w:uiPriority w:val="0"/>
    <w:rPr>
      <w:rFonts w:ascii="宋体" w:hAnsi="Times New Roman" w:eastAsia="宋体" w:cs="Times New Roman"/>
      <w:sz w:val="21"/>
      <w:lang w:val="en-US" w:eastAsia="zh-CN" w:bidi="ar-SA"/>
    </w:rPr>
  </w:style>
  <w:style w:type="paragraph" w:customStyle="1" w:styleId="176">
    <w:name w:val="标准文件_三级项"/>
    <w:basedOn w:val="1"/>
    <w:qFormat/>
    <w:uiPriority w:val="0"/>
    <w:pPr>
      <w:numPr>
        <w:ilvl w:val="2"/>
        <w:numId w:val="21"/>
      </w:numPr>
      <w:spacing w:line="536870612" w:lineRule="auto"/>
    </w:pPr>
    <w:rPr>
      <w:rFonts w:ascii="Times New Roman" w:hAnsi="Times New Roman"/>
    </w:rPr>
  </w:style>
  <w:style w:type="paragraph" w:customStyle="1" w:styleId="177">
    <w:name w:val="图表脚注说明"/>
    <w:basedOn w:val="1"/>
    <w:next w:val="60"/>
    <w:qFormat/>
    <w:uiPriority w:val="0"/>
    <w:pPr>
      <w:numPr>
        <w:ilvl w:val="0"/>
        <w:numId w:val="25"/>
      </w:numPr>
      <w:adjustRightInd/>
      <w:spacing w:line="240" w:lineRule="auto"/>
    </w:pPr>
    <w:rPr>
      <w:rFonts w:ascii="宋体" w:hAnsi="Times New Roman"/>
      <w:sz w:val="18"/>
      <w:szCs w:val="18"/>
    </w:rPr>
  </w:style>
  <w:style w:type="paragraph" w:customStyle="1" w:styleId="178">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9">
    <w:name w:val="标准文件_索引字母"/>
    <w:next w:val="60"/>
    <w:qFormat/>
    <w:uiPriority w:val="0"/>
    <w:pPr>
      <w:jc w:val="center"/>
    </w:pPr>
    <w:rPr>
      <w:rFonts w:ascii="宋体" w:hAnsi="宋体" w:eastAsia="Times New Roman" w:cs="Times New Roman"/>
      <w:b/>
      <w:kern w:val="2"/>
      <w:sz w:val="21"/>
      <w:lang w:val="en-US" w:eastAsia="zh-CN" w:bidi="ar-SA"/>
    </w:rPr>
  </w:style>
  <w:style w:type="paragraph" w:customStyle="1" w:styleId="180">
    <w:name w:val="标准文件_附录前"/>
    <w:next w:val="60"/>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1">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2">
    <w:name w:val="标准文件_表格"/>
    <w:basedOn w:val="60"/>
    <w:qFormat/>
    <w:uiPriority w:val="0"/>
    <w:pPr>
      <w:ind w:firstLine="0" w:firstLineChars="0"/>
      <w:jc w:val="center"/>
    </w:pPr>
    <w:rPr>
      <w:sz w:val="18"/>
    </w:rPr>
  </w:style>
  <w:style w:type="paragraph" w:customStyle="1" w:styleId="183">
    <w:name w:val="标准文件_注："/>
    <w:next w:val="60"/>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4">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5">
    <w:name w:val="标准文件_示例："/>
    <w:next w:val="186"/>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6">
    <w:name w:val="标准文件_示例内容"/>
    <w:basedOn w:val="60"/>
    <w:qFormat/>
    <w:uiPriority w:val="0"/>
    <w:pPr>
      <w:ind w:firstLine="420"/>
    </w:pPr>
    <w:rPr>
      <w:sz w:val="18"/>
    </w:rPr>
  </w:style>
  <w:style w:type="paragraph" w:customStyle="1" w:styleId="187">
    <w:name w:val="标准文件_示例×："/>
    <w:basedOn w:val="1"/>
    <w:next w:val="186"/>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8">
    <w:name w:val="标准文件_段 Char"/>
    <w:link w:val="60"/>
    <w:qFormat/>
    <w:uiPriority w:val="0"/>
    <w:rPr>
      <w:rFonts w:ascii="宋体" w:hAnsi="Times New Roman"/>
      <w:sz w:val="21"/>
    </w:rPr>
  </w:style>
  <w:style w:type="paragraph" w:customStyle="1" w:styleId="189">
    <w:name w:val="标准文件_表格续"/>
    <w:basedOn w:val="60"/>
    <w:next w:val="60"/>
    <w:qFormat/>
    <w:uiPriority w:val="0"/>
    <w:pPr>
      <w:jc w:val="center"/>
    </w:pPr>
    <w:rPr>
      <w:rFonts w:ascii="黑体" w:hAnsi="黑体" w:eastAsia="黑体"/>
    </w:rPr>
  </w:style>
  <w:style w:type="character" w:styleId="190">
    <w:name w:val="Placeholder Text"/>
    <w:basedOn w:val="31"/>
    <w:semiHidden/>
    <w:qFormat/>
    <w:uiPriority w:val="99"/>
    <w:rPr>
      <w:color w:val="808080"/>
    </w:rPr>
  </w:style>
  <w:style w:type="paragraph" w:customStyle="1" w:styleId="191">
    <w:name w:val="标准文件_二级项2"/>
    <w:basedOn w:val="60"/>
    <w:qFormat/>
    <w:uiPriority w:val="0"/>
    <w:pPr>
      <w:numPr>
        <w:ilvl w:val="1"/>
        <w:numId w:val="21"/>
      </w:numPr>
      <w:ind w:firstLine="0" w:firstLineChars="0"/>
    </w:pPr>
  </w:style>
  <w:style w:type="paragraph" w:customStyle="1" w:styleId="192">
    <w:name w:val="标准文件_三级项2"/>
    <w:basedOn w:val="60"/>
    <w:qFormat/>
    <w:uiPriority w:val="0"/>
    <w:pPr>
      <w:numPr>
        <w:ilvl w:val="0"/>
        <w:numId w:val="30"/>
      </w:numPr>
      <w:spacing w:line="300" w:lineRule="exact"/>
      <w:ind w:firstLineChars="0"/>
    </w:pPr>
    <w:rPr>
      <w:rFonts w:ascii="Times New Roman"/>
    </w:rPr>
  </w:style>
  <w:style w:type="paragraph" w:customStyle="1" w:styleId="193">
    <w:name w:val="标准文件_一级项2"/>
    <w:basedOn w:val="60"/>
    <w:qFormat/>
    <w:uiPriority w:val="0"/>
    <w:pPr>
      <w:numPr>
        <w:ilvl w:val="0"/>
        <w:numId w:val="31"/>
      </w:numPr>
      <w:spacing w:line="300" w:lineRule="exact"/>
      <w:ind w:firstLineChars="0"/>
    </w:pPr>
    <w:rPr>
      <w:rFonts w:ascii="Times New Roman"/>
    </w:rPr>
  </w:style>
  <w:style w:type="paragraph" w:customStyle="1" w:styleId="194">
    <w:name w:val="标准文件_提示"/>
    <w:basedOn w:val="60"/>
    <w:next w:val="60"/>
    <w:qFormat/>
    <w:uiPriority w:val="0"/>
    <w:pPr>
      <w:ind w:firstLine="420"/>
    </w:pPr>
    <w:rPr>
      <w:rFonts w:ascii="黑体" w:eastAsia="黑体"/>
    </w:rPr>
  </w:style>
  <w:style w:type="character" w:customStyle="1" w:styleId="195">
    <w:name w:val="标准文件_来源"/>
    <w:basedOn w:val="31"/>
    <w:qFormat/>
    <w:uiPriority w:val="1"/>
    <w:rPr>
      <w:rFonts w:eastAsia="宋体"/>
      <w:sz w:val="21"/>
    </w:rPr>
  </w:style>
  <w:style w:type="paragraph" w:customStyle="1" w:styleId="196">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7">
    <w:name w:val="其他发布日期"/>
    <w:basedOn w:val="124"/>
    <w:qFormat/>
    <w:uiPriority w:val="0"/>
    <w:pPr>
      <w:framePr w:w="3997" w:h="471" w:hRule="exact" w:hSpace="0" w:vSpace="181" w:vAnchor="page" w:hAnchor="page" w:x="1419" w:y="14097"/>
    </w:pPr>
  </w:style>
  <w:style w:type="paragraph" w:customStyle="1" w:styleId="198">
    <w:name w:val="其他实施日期"/>
    <w:basedOn w:val="158"/>
    <w:qFormat/>
    <w:uiPriority w:val="0"/>
    <w:pPr>
      <w:framePr w:w="3997" w:h="471" w:hRule="exact" w:vSpace="181" w:vAnchor="page" w:hAnchor="page" w:x="7089" w:y="14097"/>
    </w:pPr>
  </w:style>
  <w:style w:type="paragraph" w:customStyle="1" w:styleId="199">
    <w:name w:val="标准文件_文件编号"/>
    <w:basedOn w:val="60"/>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200">
    <w:name w:val="标准文件_替换文件编号"/>
    <w:basedOn w:val="199"/>
    <w:qFormat/>
    <w:uiPriority w:val="0"/>
    <w:pPr>
      <w:framePr/>
      <w:spacing w:before="57"/>
    </w:pPr>
    <w:rPr>
      <w:sz w:val="21"/>
    </w:rPr>
  </w:style>
  <w:style w:type="paragraph" w:customStyle="1" w:styleId="201">
    <w:name w:val="标准文件_文件名称"/>
    <w:basedOn w:val="60"/>
    <w:next w:val="60"/>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2">
    <w:name w:val="标准文件_附录图标号"/>
    <w:basedOn w:val="60"/>
    <w:next w:val="60"/>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3">
    <w:name w:val="标准文件_附录表标号"/>
    <w:basedOn w:val="60"/>
    <w:next w:val="60"/>
    <w:qFormat/>
    <w:uiPriority w:val="0"/>
    <w:pPr>
      <w:numPr>
        <w:ilvl w:val="0"/>
        <w:numId w:val="5"/>
      </w:numPr>
      <w:spacing w:line="14" w:lineRule="exact"/>
      <w:ind w:firstLine="0" w:firstLineChars="0"/>
      <w:jc w:val="center"/>
    </w:pPr>
    <w:rPr>
      <w:rFonts w:eastAsia="黑体"/>
      <w:vanish/>
      <w:sz w:val="2"/>
    </w:rPr>
  </w:style>
  <w:style w:type="paragraph" w:customStyle="1" w:styleId="204">
    <w:name w:val="标准文件_引言一级条标题"/>
    <w:basedOn w:val="60"/>
    <w:next w:val="60"/>
    <w:qFormat/>
    <w:uiPriority w:val="0"/>
    <w:pPr>
      <w:numPr>
        <w:ilvl w:val="1"/>
        <w:numId w:val="8"/>
      </w:numPr>
      <w:spacing w:before="50" w:beforeLines="50" w:after="50" w:afterLines="50"/>
      <w:ind w:firstLineChars="0"/>
    </w:pPr>
    <w:rPr>
      <w:rFonts w:ascii="黑体" w:eastAsia="黑体"/>
    </w:rPr>
  </w:style>
  <w:style w:type="paragraph" w:customStyle="1" w:styleId="205">
    <w:name w:val="标准文件_引言二级条标题"/>
    <w:basedOn w:val="60"/>
    <w:next w:val="60"/>
    <w:qFormat/>
    <w:uiPriority w:val="0"/>
    <w:pPr>
      <w:numPr>
        <w:ilvl w:val="2"/>
        <w:numId w:val="8"/>
      </w:numPr>
      <w:spacing w:before="50" w:beforeLines="50" w:after="50" w:afterLines="50"/>
      <w:ind w:firstLineChars="0"/>
    </w:pPr>
    <w:rPr>
      <w:rFonts w:ascii="黑体" w:eastAsia="黑体"/>
    </w:rPr>
  </w:style>
  <w:style w:type="paragraph" w:customStyle="1" w:styleId="206">
    <w:name w:val="标准文件_引言三级条标题"/>
    <w:basedOn w:val="60"/>
    <w:next w:val="60"/>
    <w:qFormat/>
    <w:uiPriority w:val="0"/>
    <w:pPr>
      <w:numPr>
        <w:ilvl w:val="3"/>
        <w:numId w:val="8"/>
      </w:numPr>
      <w:spacing w:before="50" w:beforeLines="50" w:after="50" w:afterLines="50"/>
      <w:ind w:firstLineChars="0"/>
    </w:pPr>
    <w:rPr>
      <w:rFonts w:ascii="黑体" w:eastAsia="黑体"/>
    </w:rPr>
  </w:style>
  <w:style w:type="paragraph" w:customStyle="1" w:styleId="207">
    <w:name w:val="标准文件_引言四级条标题"/>
    <w:basedOn w:val="60"/>
    <w:next w:val="60"/>
    <w:qFormat/>
    <w:uiPriority w:val="0"/>
    <w:pPr>
      <w:numPr>
        <w:ilvl w:val="4"/>
        <w:numId w:val="8"/>
      </w:numPr>
      <w:spacing w:before="50" w:beforeLines="50" w:after="50" w:afterLines="50"/>
      <w:ind w:firstLineChars="0"/>
    </w:pPr>
    <w:rPr>
      <w:rFonts w:ascii="黑体" w:eastAsia="黑体"/>
    </w:rPr>
  </w:style>
  <w:style w:type="paragraph" w:customStyle="1" w:styleId="208">
    <w:name w:val="标准文件_引言五级条标题"/>
    <w:basedOn w:val="60"/>
    <w:next w:val="60"/>
    <w:qFormat/>
    <w:uiPriority w:val="0"/>
    <w:pPr>
      <w:numPr>
        <w:ilvl w:val="5"/>
        <w:numId w:val="8"/>
      </w:numPr>
      <w:spacing w:before="50" w:beforeLines="50" w:after="50" w:afterLines="50"/>
      <w:ind w:firstLineChars="0"/>
    </w:pPr>
    <w:rPr>
      <w:rFonts w:ascii="黑体" w:eastAsia="黑体"/>
    </w:rPr>
  </w:style>
  <w:style w:type="paragraph" w:customStyle="1" w:styleId="209">
    <w:name w:val="标准文件_注后"/>
    <w:basedOn w:val="60"/>
    <w:qFormat/>
    <w:uiPriority w:val="0"/>
    <w:pPr>
      <w:ind w:left="811" w:firstLine="0" w:firstLineChars="0"/>
    </w:pPr>
    <w:rPr>
      <w:sz w:val="18"/>
    </w:rPr>
  </w:style>
  <w:style w:type="paragraph" w:customStyle="1" w:styleId="210">
    <w:name w:val="标准文件_注X后"/>
    <w:basedOn w:val="60"/>
    <w:qFormat/>
    <w:uiPriority w:val="0"/>
    <w:pPr>
      <w:ind w:left="811" w:firstLine="0" w:firstLineChars="0"/>
    </w:pPr>
    <w:rPr>
      <w:sz w:val="18"/>
    </w:rPr>
  </w:style>
  <w:style w:type="paragraph" w:customStyle="1" w:styleId="211">
    <w:name w:val="标准文件_示例后"/>
    <w:basedOn w:val="60"/>
    <w:qFormat/>
    <w:uiPriority w:val="0"/>
    <w:pPr>
      <w:ind w:left="964" w:firstLine="0" w:firstLineChars="0"/>
    </w:pPr>
    <w:rPr>
      <w:sz w:val="18"/>
    </w:rPr>
  </w:style>
  <w:style w:type="paragraph" w:customStyle="1" w:styleId="212">
    <w:name w:val="标准文件_示例X后"/>
    <w:basedOn w:val="60"/>
    <w:link w:val="213"/>
    <w:qFormat/>
    <w:uiPriority w:val="0"/>
    <w:pPr>
      <w:ind w:left="1049" w:firstLine="0" w:firstLineChars="0"/>
    </w:pPr>
    <w:rPr>
      <w:sz w:val="18"/>
    </w:rPr>
  </w:style>
  <w:style w:type="character" w:customStyle="1" w:styleId="213">
    <w:name w:val="标准文件_示例X后 字符"/>
    <w:basedOn w:val="188"/>
    <w:link w:val="212"/>
    <w:qFormat/>
    <w:uiPriority w:val="0"/>
    <w:rPr>
      <w:rFonts w:ascii="宋体" w:hAnsi="Times New Roman"/>
      <w:sz w:val="18"/>
    </w:rPr>
  </w:style>
  <w:style w:type="paragraph" w:customStyle="1" w:styleId="214">
    <w:name w:val="标准文件_索引项"/>
    <w:basedOn w:val="60"/>
    <w:next w:val="60"/>
    <w:qFormat/>
    <w:uiPriority w:val="0"/>
    <w:pPr>
      <w:tabs>
        <w:tab w:val="right" w:leader="dot" w:pos="9356"/>
      </w:tabs>
      <w:ind w:left="210" w:hanging="210" w:firstLineChars="0"/>
      <w:jc w:val="left"/>
    </w:pPr>
  </w:style>
  <w:style w:type="paragraph" w:customStyle="1" w:styleId="215">
    <w:name w:val="标准文件_附录一级无标题"/>
    <w:basedOn w:val="82"/>
    <w:qFormat/>
    <w:uiPriority w:val="0"/>
    <w:pPr>
      <w:spacing w:before="0" w:beforeLines="0" w:after="0" w:afterLines="0" w:line="276" w:lineRule="auto"/>
      <w:outlineLvl w:val="9"/>
    </w:pPr>
    <w:rPr>
      <w:rFonts w:ascii="宋体" w:eastAsia="宋体"/>
    </w:rPr>
  </w:style>
  <w:style w:type="paragraph" w:customStyle="1" w:styleId="216">
    <w:name w:val="标准文件_附录二级无标题"/>
    <w:basedOn w:val="83"/>
    <w:qFormat/>
    <w:uiPriority w:val="0"/>
    <w:pPr>
      <w:spacing w:before="0" w:beforeLines="0" w:after="0" w:afterLines="0" w:line="276" w:lineRule="auto"/>
      <w:outlineLvl w:val="9"/>
    </w:pPr>
    <w:rPr>
      <w:rFonts w:ascii="宋体" w:eastAsia="宋体"/>
    </w:rPr>
  </w:style>
  <w:style w:type="paragraph" w:customStyle="1" w:styleId="217">
    <w:name w:val="标准文件_附录三级无标题"/>
    <w:basedOn w:val="85"/>
    <w:qFormat/>
    <w:uiPriority w:val="0"/>
    <w:pPr>
      <w:spacing w:before="0" w:beforeLines="0" w:after="0" w:afterLines="0" w:line="276" w:lineRule="auto"/>
      <w:outlineLvl w:val="9"/>
    </w:pPr>
    <w:rPr>
      <w:rFonts w:ascii="宋体" w:eastAsia="宋体"/>
    </w:rPr>
  </w:style>
  <w:style w:type="paragraph" w:customStyle="1" w:styleId="218">
    <w:name w:val="标准文件_附录四级无标题"/>
    <w:basedOn w:val="86"/>
    <w:qFormat/>
    <w:uiPriority w:val="0"/>
    <w:pPr>
      <w:spacing w:before="0" w:beforeLines="0" w:after="0" w:afterLines="0" w:line="276" w:lineRule="auto"/>
      <w:outlineLvl w:val="9"/>
    </w:pPr>
    <w:rPr>
      <w:rFonts w:ascii="宋体" w:eastAsia="宋体"/>
    </w:rPr>
  </w:style>
  <w:style w:type="paragraph" w:customStyle="1" w:styleId="219">
    <w:name w:val="标准文件_附录五级无标题"/>
    <w:basedOn w:val="88"/>
    <w:qFormat/>
    <w:uiPriority w:val="0"/>
    <w:pPr>
      <w:spacing w:before="0" w:beforeLines="0" w:after="0" w:afterLines="0" w:line="276" w:lineRule="auto"/>
      <w:outlineLvl w:val="9"/>
    </w:pPr>
    <w:rPr>
      <w:rFonts w:ascii="宋体" w:eastAsia="宋体"/>
    </w:rPr>
  </w:style>
  <w:style w:type="paragraph" w:customStyle="1" w:styleId="220">
    <w:name w:val="标准文件_引言一级无标题"/>
    <w:basedOn w:val="204"/>
    <w:next w:val="60"/>
    <w:qFormat/>
    <w:uiPriority w:val="0"/>
    <w:pPr>
      <w:spacing w:before="0" w:beforeLines="0" w:after="0" w:afterLines="0" w:line="276" w:lineRule="auto"/>
    </w:pPr>
    <w:rPr>
      <w:rFonts w:ascii="宋体" w:eastAsia="宋体"/>
    </w:rPr>
  </w:style>
  <w:style w:type="paragraph" w:customStyle="1" w:styleId="221">
    <w:name w:val="标准文件_引言二级无标题"/>
    <w:basedOn w:val="205"/>
    <w:next w:val="60"/>
    <w:qFormat/>
    <w:uiPriority w:val="0"/>
    <w:pPr>
      <w:spacing w:before="0" w:beforeLines="0" w:after="0" w:afterLines="0" w:line="276" w:lineRule="auto"/>
    </w:pPr>
    <w:rPr>
      <w:rFonts w:ascii="宋体" w:eastAsia="宋体"/>
    </w:rPr>
  </w:style>
  <w:style w:type="paragraph" w:customStyle="1" w:styleId="222">
    <w:name w:val="标准文件_引言三级无标题"/>
    <w:basedOn w:val="206"/>
    <w:qFormat/>
    <w:uiPriority w:val="0"/>
    <w:pPr>
      <w:spacing w:before="0" w:beforeLines="0" w:after="0" w:afterLines="0" w:line="276" w:lineRule="auto"/>
    </w:pPr>
    <w:rPr>
      <w:rFonts w:ascii="宋体" w:eastAsia="宋体"/>
    </w:rPr>
  </w:style>
  <w:style w:type="paragraph" w:customStyle="1" w:styleId="223">
    <w:name w:val="标准文件_引言四级无标题"/>
    <w:basedOn w:val="207"/>
    <w:next w:val="60"/>
    <w:qFormat/>
    <w:uiPriority w:val="0"/>
    <w:pPr>
      <w:spacing w:before="0" w:beforeLines="0" w:after="0" w:afterLines="0" w:line="276" w:lineRule="auto"/>
    </w:pPr>
    <w:rPr>
      <w:rFonts w:ascii="宋体" w:eastAsia="宋体"/>
    </w:rPr>
  </w:style>
  <w:style w:type="paragraph" w:customStyle="1" w:styleId="224">
    <w:name w:val="标准文件_引言五级无标题"/>
    <w:basedOn w:val="208"/>
    <w:next w:val="60"/>
    <w:qFormat/>
    <w:uiPriority w:val="0"/>
    <w:pPr>
      <w:spacing w:before="0" w:beforeLines="0" w:after="0" w:afterLines="0" w:line="276" w:lineRule="auto"/>
    </w:pPr>
    <w:rPr>
      <w:rFonts w:ascii="宋体" w:eastAsia="宋体"/>
    </w:rPr>
  </w:style>
  <w:style w:type="paragraph" w:customStyle="1" w:styleId="225">
    <w:name w:val="标准文件_索引标题"/>
    <w:basedOn w:val="67"/>
    <w:next w:val="60"/>
    <w:qFormat/>
    <w:uiPriority w:val="0"/>
    <w:rPr>
      <w:rFonts w:hAnsi="黑体"/>
    </w:rPr>
  </w:style>
  <w:style w:type="paragraph" w:customStyle="1" w:styleId="226">
    <w:name w:val="标准文件_脚注内容"/>
    <w:basedOn w:val="60"/>
    <w:qFormat/>
    <w:uiPriority w:val="0"/>
    <w:pPr>
      <w:ind w:left="400" w:leftChars="200" w:hanging="200" w:hangingChars="200"/>
    </w:pPr>
    <w:rPr>
      <w:sz w:val="15"/>
    </w:rPr>
  </w:style>
  <w:style w:type="paragraph" w:customStyle="1" w:styleId="227">
    <w:name w:val="标准文件_术语条一"/>
    <w:basedOn w:val="166"/>
    <w:next w:val="60"/>
    <w:qFormat/>
    <w:uiPriority w:val="0"/>
  </w:style>
  <w:style w:type="paragraph" w:customStyle="1" w:styleId="228">
    <w:name w:val="标准文件_术语条二"/>
    <w:basedOn w:val="169"/>
    <w:next w:val="60"/>
    <w:qFormat/>
    <w:uiPriority w:val="0"/>
  </w:style>
  <w:style w:type="paragraph" w:customStyle="1" w:styleId="229">
    <w:name w:val="标准文件_术语条三"/>
    <w:basedOn w:val="168"/>
    <w:next w:val="60"/>
    <w:qFormat/>
    <w:uiPriority w:val="0"/>
  </w:style>
  <w:style w:type="paragraph" w:customStyle="1" w:styleId="230">
    <w:name w:val="标准文件_术语条四"/>
    <w:basedOn w:val="171"/>
    <w:next w:val="60"/>
    <w:qFormat/>
    <w:uiPriority w:val="0"/>
  </w:style>
  <w:style w:type="paragraph" w:customStyle="1" w:styleId="231">
    <w:name w:val="标准文件_术语条五"/>
    <w:basedOn w:val="167"/>
    <w:next w:val="60"/>
    <w:qFormat/>
    <w:uiPriority w:val="0"/>
  </w:style>
  <w:style w:type="paragraph" w:customStyle="1" w:styleId="23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3">
    <w:name w:val="发布"/>
    <w:basedOn w:val="31"/>
    <w:qFormat/>
    <w:uiPriority w:val="0"/>
    <w:rPr>
      <w:rFonts w:ascii="黑体" w:eastAsia="黑体"/>
      <w:spacing w:val="85"/>
      <w:w w:val="100"/>
      <w:position w:val="3"/>
      <w:sz w:val="28"/>
      <w:szCs w:val="28"/>
    </w:rPr>
  </w:style>
  <w:style w:type="character" w:customStyle="1" w:styleId="234">
    <w:name w:val="批注文字 Char"/>
    <w:basedOn w:val="31"/>
    <w:link w:val="13"/>
    <w:qFormat/>
    <w:uiPriority w:val="99"/>
    <w:rPr>
      <w:kern w:val="2"/>
      <w:sz w:val="21"/>
      <w:szCs w:val="21"/>
    </w:rPr>
  </w:style>
  <w:style w:type="character" w:customStyle="1" w:styleId="235">
    <w:name w:val="批注主题 Char"/>
    <w:basedOn w:val="234"/>
    <w:link w:val="28"/>
    <w:semiHidden/>
    <w:qFormat/>
    <w:uiPriority w:val="99"/>
    <w:rPr>
      <w:b/>
      <w:bCs/>
      <w:kern w:val="2"/>
      <w:sz w:val="21"/>
      <w:szCs w:val="21"/>
    </w:rPr>
  </w:style>
  <w:style w:type="paragraph" w:customStyle="1" w:styleId="236">
    <w:name w:val="Revision"/>
    <w:hidden/>
    <w:semiHidden/>
    <w:qFormat/>
    <w:uiPriority w:val="99"/>
    <w:rPr>
      <w:rFonts w:ascii="Calibri" w:hAnsi="Calibri" w:eastAsia="宋体" w:cs="Times New Roman"/>
      <w:kern w:val="2"/>
      <w:sz w:val="21"/>
      <w:szCs w:val="21"/>
      <w:lang w:val="en-US" w:eastAsia="zh-CN" w:bidi="ar-SA"/>
    </w:rPr>
  </w:style>
  <w:style w:type="paragraph" w:styleId="23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6" Type="http://schemas.openxmlformats.org/officeDocument/2006/relationships/glossaryDocument" Target="glossary/document.xml"/><Relationship Id="rId45" Type="http://schemas.openxmlformats.org/officeDocument/2006/relationships/fontTable" Target="fontTable.xml"/><Relationship Id="rId44" Type="http://schemas.openxmlformats.org/officeDocument/2006/relationships/numbering" Target="numbering.xml"/><Relationship Id="rId43" Type="http://schemas.openxmlformats.org/officeDocument/2006/relationships/customXml" Target="../customXml/item1.xml"/><Relationship Id="rId42" Type="http://schemas.openxmlformats.org/officeDocument/2006/relationships/image" Target="media/image2.jpeg"/><Relationship Id="rId41" Type="http://schemas.openxmlformats.org/officeDocument/2006/relationships/image" Target="media/image1.png"/><Relationship Id="rId40" Type="http://schemas.openxmlformats.org/officeDocument/2006/relationships/image" Target="media/image1.tiff"/><Relationship Id="rId4" Type="http://schemas.openxmlformats.org/officeDocument/2006/relationships/endnotes" Target="endnotes.xml"/><Relationship Id="rId39" Type="http://schemas.openxmlformats.org/officeDocument/2006/relationships/theme" Target="theme/theme1.xml"/><Relationship Id="rId38" Type="http://schemas.openxmlformats.org/officeDocument/2006/relationships/footer" Target="footer17.xml"/><Relationship Id="rId37" Type="http://schemas.openxmlformats.org/officeDocument/2006/relationships/footer" Target="footer16.xml"/><Relationship Id="rId36" Type="http://schemas.openxmlformats.org/officeDocument/2006/relationships/header" Target="header17.xml"/><Relationship Id="rId35" Type="http://schemas.openxmlformats.org/officeDocument/2006/relationships/header" Target="header16.xml"/><Relationship Id="rId34" Type="http://schemas.openxmlformats.org/officeDocument/2006/relationships/footer" Target="footer15.xml"/><Relationship Id="rId33" Type="http://schemas.openxmlformats.org/officeDocument/2006/relationships/footer" Target="footer14.xml"/><Relationship Id="rId32" Type="http://schemas.openxmlformats.org/officeDocument/2006/relationships/header" Target="header15.xml"/><Relationship Id="rId31" Type="http://schemas.openxmlformats.org/officeDocument/2006/relationships/header" Target="header14.xml"/><Relationship Id="rId30" Type="http://schemas.openxmlformats.org/officeDocument/2006/relationships/footer" Target="footer13.xml"/><Relationship Id="rId3" Type="http://schemas.openxmlformats.org/officeDocument/2006/relationships/footnotes" Target="footnotes.xml"/><Relationship Id="rId29" Type="http://schemas.openxmlformats.org/officeDocument/2006/relationships/footer" Target="footer12.xml"/><Relationship Id="rId28" Type="http://schemas.openxmlformats.org/officeDocument/2006/relationships/header" Target="header13.xml"/><Relationship Id="rId27" Type="http://schemas.openxmlformats.org/officeDocument/2006/relationships/header" Target="header12.xml"/><Relationship Id="rId26" Type="http://schemas.openxmlformats.org/officeDocument/2006/relationships/footer" Target="footer11.xml"/><Relationship Id="rId25" Type="http://schemas.openxmlformats.org/officeDocument/2006/relationships/footer" Target="footer10.xml"/><Relationship Id="rId24" Type="http://schemas.openxmlformats.org/officeDocument/2006/relationships/header" Target="header11.xml"/><Relationship Id="rId23" Type="http://schemas.openxmlformats.org/officeDocument/2006/relationships/header" Target="header10.xml"/><Relationship Id="rId22" Type="http://schemas.openxmlformats.org/officeDocument/2006/relationships/footer" Target="footer9.xml"/><Relationship Id="rId21" Type="http://schemas.openxmlformats.org/officeDocument/2006/relationships/footer" Target="footer8.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7.xml"/><Relationship Id="rId17" Type="http://schemas.openxmlformats.org/officeDocument/2006/relationships/footer" Target="footer6.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os/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149D7AD918C347D19A515A6C8CE2CBEC"/>
        <w:style w:val=""/>
        <w:category>
          <w:name w:val="常规"/>
          <w:gallery w:val="placeholder"/>
        </w:category>
        <w:types>
          <w:type w:val="bbPlcHdr"/>
        </w:types>
        <w:behaviors>
          <w:behavior w:val="content"/>
        </w:behaviors>
        <w:description w:val=""/>
        <w:guid w:val="{B86DCFF9-2C00-4BAE-959C-071451352B55}"/>
      </w:docPartPr>
      <w:docPartBody>
        <w:p>
          <w:pPr>
            <w:pStyle w:val="5"/>
          </w:pPr>
          <w:r>
            <w:rPr>
              <w:rStyle w:val="4"/>
              <w:rFonts w:hint="eastAsia"/>
            </w:rPr>
            <w:t>单击或点击此处输入文字。</w:t>
          </w:r>
        </w:p>
      </w:docPartBody>
    </w:docPart>
    <w:docPart>
      <w:docPartPr>
        <w:name w:val="5DF533BC3E1E41D9A9ACC88E805ED538"/>
        <w:style w:val=""/>
        <w:category>
          <w:name w:val="常规"/>
          <w:gallery w:val="placeholder"/>
        </w:category>
        <w:types>
          <w:type w:val="bbPlcHdr"/>
        </w:types>
        <w:behaviors>
          <w:behavior w:val="content"/>
        </w:behaviors>
        <w:description w:val=""/>
        <w:guid w:val="{11B8BBBE-47BE-4361-8A99-961D148E4291}"/>
      </w:docPartPr>
      <w:docPartBody>
        <w:p>
          <w:pPr>
            <w:pStyle w:val="6"/>
          </w:pPr>
          <w:r>
            <w:rPr>
              <w:rStyle w:val="4"/>
              <w:rFonts w:hint="eastAsia"/>
            </w:rPr>
            <w:t>选择一项。</w:t>
          </w:r>
        </w:p>
      </w:docPartBody>
    </w:docPart>
    <w:docPart>
      <w:docPartPr>
        <w:name w:val="0492C968E0154C9680326045EED6506E"/>
        <w:style w:val=""/>
        <w:category>
          <w:name w:val="常规"/>
          <w:gallery w:val="placeholder"/>
        </w:category>
        <w:types>
          <w:type w:val="bbPlcHdr"/>
        </w:types>
        <w:behaviors>
          <w:behavior w:val="content"/>
        </w:behaviors>
        <w:description w:val=""/>
        <w:guid w:val="{4E44557B-87AA-4261-AE1A-5593F092F836}"/>
      </w:docPartPr>
      <w:docPartBody>
        <w:p>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宋体"/>
    <w:panose1 w:val="02010600030101010101"/>
    <w:charset w:val="86"/>
    <w:family w:val="auto"/>
    <w:pitch w:val="default"/>
    <w:sig w:usb0="00000000" w:usb1="00000000" w:usb2="00000016" w:usb3="00000000" w:csb0="0004000F" w:csb1="00000000"/>
  </w:font>
  <w:font w:name="等线">
    <w:altName w:val="汉仪仿宋S"/>
    <w:panose1 w:val="00000000000000000000"/>
    <w:charset w:val="86"/>
    <w:family w:val="auto"/>
    <w:pitch w:val="default"/>
    <w:sig w:usb0="00000000" w:usb1="00000000" w:usb2="00000000" w:usb3="00000000" w:csb0="00000000" w:csb1="00000000"/>
  </w:font>
  <w:font w:name="等线">
    <w:altName w:val="汉仪仿宋S"/>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true"/>
  <w:bordersDoNotSurroundFooter w:val="true"/>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89A"/>
    <w:rsid w:val="000263D0"/>
    <w:rsid w:val="000342C9"/>
    <w:rsid w:val="000407FB"/>
    <w:rsid w:val="000C3BBF"/>
    <w:rsid w:val="000D1605"/>
    <w:rsid w:val="000D3BBA"/>
    <w:rsid w:val="00283640"/>
    <w:rsid w:val="00284D38"/>
    <w:rsid w:val="002C6D59"/>
    <w:rsid w:val="003367B7"/>
    <w:rsid w:val="00355554"/>
    <w:rsid w:val="0037302B"/>
    <w:rsid w:val="00383F99"/>
    <w:rsid w:val="003A70BC"/>
    <w:rsid w:val="0043089A"/>
    <w:rsid w:val="00434059"/>
    <w:rsid w:val="004427EF"/>
    <w:rsid w:val="004B399B"/>
    <w:rsid w:val="004D1003"/>
    <w:rsid w:val="00500EA4"/>
    <w:rsid w:val="0054716F"/>
    <w:rsid w:val="005A6B0D"/>
    <w:rsid w:val="00611936"/>
    <w:rsid w:val="00620339"/>
    <w:rsid w:val="00653B05"/>
    <w:rsid w:val="0066450E"/>
    <w:rsid w:val="0076743B"/>
    <w:rsid w:val="00862E80"/>
    <w:rsid w:val="00932BE1"/>
    <w:rsid w:val="00941CED"/>
    <w:rsid w:val="009B4DD6"/>
    <w:rsid w:val="00A75512"/>
    <w:rsid w:val="00B70CFF"/>
    <w:rsid w:val="00BA2780"/>
    <w:rsid w:val="00BD3DC5"/>
    <w:rsid w:val="00BD6092"/>
    <w:rsid w:val="00C065F7"/>
    <w:rsid w:val="00C73B3D"/>
    <w:rsid w:val="00CD4DC5"/>
    <w:rsid w:val="00D3353C"/>
    <w:rsid w:val="00D54434"/>
    <w:rsid w:val="00D74DAF"/>
    <w:rsid w:val="00DB63BA"/>
    <w:rsid w:val="00E1367A"/>
    <w:rsid w:val="00E366A5"/>
    <w:rsid w:val="00F76B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149D7AD918C347D19A515A6C8CE2CBEC"/>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5DF533BC3E1E41D9A9ACC88E805ED538"/>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0492C968E0154C9680326045EED6506E"/>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地方标准</Template>
  <Company>PCMI</Company>
  <Pages>23</Pages>
  <Words>2405</Words>
  <Characters>13711</Characters>
  <Lines>114</Lines>
  <Paragraphs>32</Paragraphs>
  <TotalTime>1</TotalTime>
  <ScaleCrop>false</ScaleCrop>
  <LinksUpToDate>false</LinksUpToDate>
  <CharactersWithSpaces>16084</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2026-09-29T11:03:00Z</dcterms:created>
  <dc:creator>0</dc:creator>
  <cp:lastModifiedBy>uos</cp:lastModifiedBy>
  <cp:lastPrinted>2020-08-30T18:00:00Z</cp:lastPrinted>
  <dcterms:modified xsi:type="dcterms:W3CDTF">2026-09-30T10:28:23Z</dcterms:modified>
  <dc:title>地方标准</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DoublePage">
    <vt:lpwstr>true</vt:lpwstr>
  </property>
  <property fmtid="{D5CDD505-2E9C-101B-9397-08002B2CF9AE}" pid="15" name="KSOProductBuildVer">
    <vt:lpwstr>2052-11.8.2.9958</vt:lpwstr>
  </property>
</Properties>
</file>