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E2939D">
      <w:pPr>
        <w:pStyle w:val="3"/>
        <w:spacing w:line="590" w:lineRule="exact"/>
        <w:ind w:left="0" w:right="0"/>
        <w:jc w:val="left"/>
        <w:rPr>
          <w:rFonts w:hint="default" w:ascii="Times New Roman" w:hAnsi="Times New Roman" w:eastAsia="方正仿宋_GBK" w:cs="Times New Roman"/>
          <w:b w:val="0"/>
          <w:bCs w:val="0"/>
          <w:sz w:val="32"/>
          <w:szCs w:val="32"/>
          <w:lang w:eastAsia="zh-CN"/>
        </w:rPr>
      </w:pPr>
      <w:bookmarkStart w:id="1" w:name="_GoBack"/>
      <w:bookmarkEnd w:id="1"/>
      <w:bookmarkStart w:id="0" w:name="_Hlk106088559"/>
    </w:p>
    <w:p w14:paraId="76F98A89">
      <w:pPr>
        <w:pStyle w:val="3"/>
        <w:spacing w:line="590" w:lineRule="exact"/>
        <w:ind w:left="0" w:right="0"/>
        <w:jc w:val="left"/>
        <w:rPr>
          <w:rFonts w:hint="default" w:ascii="Times New Roman" w:hAnsi="Times New Roman" w:eastAsia="方正仿宋_GBK" w:cs="Times New Roman"/>
          <w:b w:val="0"/>
          <w:bCs w:val="0"/>
          <w:sz w:val="32"/>
          <w:szCs w:val="32"/>
          <w:lang w:eastAsia="zh-CN"/>
        </w:rPr>
      </w:pPr>
    </w:p>
    <w:p w14:paraId="26397D14">
      <w:pPr>
        <w:pStyle w:val="3"/>
        <w:spacing w:line="590" w:lineRule="exact"/>
        <w:ind w:left="0" w:right="0"/>
        <w:jc w:val="center"/>
        <w:outlineLvl w:val="0"/>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eastAsia="zh-CN"/>
        </w:rPr>
        <w:t>关于</w:t>
      </w:r>
      <w:r>
        <w:rPr>
          <w:rFonts w:hint="eastAsia" w:ascii="方正小标宋_GBK" w:hAnsi="方正小标宋_GBK" w:eastAsia="方正小标宋_GBK" w:cs="方正小标宋_GBK"/>
          <w:b w:val="0"/>
          <w:bCs w:val="0"/>
          <w:sz w:val="44"/>
          <w:szCs w:val="44"/>
          <w:lang w:val="en-US" w:eastAsia="zh-CN"/>
        </w:rPr>
        <w:t>对</w:t>
      </w:r>
      <w:r>
        <w:rPr>
          <w:rFonts w:hint="eastAsia" w:ascii="方正小标宋_GBK" w:hAnsi="方正小标宋_GBK" w:eastAsia="方正小标宋_GBK" w:cs="方正小标宋_GBK"/>
          <w:b w:val="0"/>
          <w:bCs w:val="0"/>
          <w:sz w:val="44"/>
          <w:szCs w:val="44"/>
          <w:lang w:eastAsia="zh-CN"/>
        </w:rPr>
        <w:t>《</w:t>
      </w:r>
      <w:r>
        <w:rPr>
          <w:rFonts w:hint="eastAsia" w:ascii="Times New Roman" w:hAnsi="Times New Roman" w:eastAsia="方正小标宋_GBK" w:cs="Times New Roman"/>
          <w:b w:val="0"/>
          <w:bCs w:val="0"/>
          <w:sz w:val="44"/>
          <w:szCs w:val="44"/>
          <w:lang w:eastAsia="zh-CN"/>
        </w:rPr>
        <w:t>江苏省辐射安全许可证办理等工作程序和规范</w:t>
      </w:r>
      <w:r>
        <w:rPr>
          <w:rFonts w:hint="eastAsia" w:ascii="方正小标宋_GBK" w:hAnsi="方正小标宋_GBK" w:eastAsia="方正小标宋_GBK" w:cs="方正小标宋_GBK"/>
          <w:b w:val="0"/>
          <w:bCs w:val="0"/>
          <w:sz w:val="44"/>
          <w:szCs w:val="44"/>
          <w:lang w:eastAsia="zh-CN"/>
        </w:rPr>
        <w:t>》的修订</w:t>
      </w:r>
      <w:r>
        <w:rPr>
          <w:rFonts w:hint="eastAsia" w:ascii="方正小标宋_GBK" w:hAnsi="方正小标宋_GBK" w:eastAsia="方正小标宋_GBK" w:cs="方正小标宋_GBK"/>
          <w:b w:val="0"/>
          <w:bCs w:val="0"/>
          <w:sz w:val="44"/>
          <w:szCs w:val="44"/>
          <w:lang w:val="en-US" w:eastAsia="zh-CN"/>
        </w:rPr>
        <w:t>说明</w:t>
      </w:r>
    </w:p>
    <w:p w14:paraId="7B590746">
      <w:pPr>
        <w:pStyle w:val="3"/>
        <w:spacing w:line="590" w:lineRule="exact"/>
        <w:ind w:left="0" w:right="0"/>
        <w:jc w:val="center"/>
        <w:outlineLvl w:val="0"/>
        <w:rPr>
          <w:rFonts w:hint="eastAsia" w:ascii="方正小标宋_GBK" w:hAnsi="方正小标宋_GBK" w:eastAsia="方正小标宋_GBK" w:cs="方正小标宋_GBK"/>
          <w:b w:val="0"/>
          <w:bCs w:val="0"/>
          <w:sz w:val="44"/>
          <w:szCs w:val="44"/>
          <w:lang w:val="en-US" w:eastAsia="zh-CN"/>
        </w:rPr>
      </w:pPr>
    </w:p>
    <w:p w14:paraId="066DE682">
      <w:pPr>
        <w:numPr>
          <w:ilvl w:val="0"/>
          <w:numId w:val="1"/>
        </w:numPr>
        <w:ind w:left="310" w:leftChars="0" w:firstLine="320" w:firstLineChars="0"/>
        <w:jc w:val="both"/>
        <w:rPr>
          <w:rFonts w:hint="eastAsia" w:ascii="方正小标宋_GBK" w:hAnsi="方正小标宋_GBK" w:eastAsia="方正小标宋_GBK" w:cs="方正小标宋_GBK"/>
          <w:sz w:val="32"/>
          <w:szCs w:val="32"/>
          <w:lang w:val="en-US" w:eastAsia="zh-CN"/>
        </w:rPr>
      </w:pPr>
      <w:r>
        <w:rPr>
          <w:rFonts w:hint="eastAsia" w:ascii="方正小标宋_GBK" w:hAnsi="方正小标宋_GBK" w:eastAsia="方正小标宋_GBK" w:cs="方正小标宋_GBK"/>
          <w:sz w:val="32"/>
          <w:szCs w:val="32"/>
          <w:lang w:val="en-US" w:eastAsia="zh-CN"/>
        </w:rPr>
        <w:t>修订背景</w:t>
      </w:r>
    </w:p>
    <w:p w14:paraId="4BE70716">
      <w:pPr>
        <w:numPr>
          <w:ilvl w:val="0"/>
          <w:numId w:val="0"/>
        </w:numPr>
        <w:ind w:leftChars="100" w:firstLine="640" w:firstLineChars="200"/>
        <w:jc w:val="both"/>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为规范我省核与辐射安全监管工作，我厅于2007年首次印发了《江苏省辐射安全监督管理相关工作程序》（以下简称《程序》），并于2009年、2011年、2014年、2017年、2019年先后五次进行了修订。该《程序》包括辐射安全许可、环评审批、豁免确认、日常监督、转让审批、转移备案、废源回收及放射源运输备案等七项工作程序，主要规定了涉及核技术利用的行政审批事项的办理依据、办理对象、审批权限、审批条件、需提交资料的内容与格式，以及核技术应用单位监督检查中各级生态环境部门的监督职责、监督频次、监督内容及监督检查技术程序等。《程序》的实施，在规范我省核与辐射安全监管工作，提高审批效率，提升服务质量方面起到了积极的作用。</w:t>
      </w:r>
    </w:p>
    <w:p w14:paraId="293CFFFF">
      <w:pPr>
        <w:numPr>
          <w:ilvl w:val="0"/>
          <w:numId w:val="1"/>
        </w:numPr>
        <w:ind w:left="310" w:leftChars="0" w:firstLine="320" w:firstLineChars="0"/>
        <w:jc w:val="both"/>
        <w:rPr>
          <w:rFonts w:hint="eastAsia" w:ascii="方正小标宋_GBK" w:hAnsi="方正小标宋_GBK" w:eastAsia="方正小标宋_GBK" w:cs="方正小标宋_GBK"/>
          <w:sz w:val="32"/>
          <w:szCs w:val="32"/>
          <w:lang w:val="en-US" w:eastAsia="zh-CN"/>
        </w:rPr>
      </w:pPr>
      <w:r>
        <w:rPr>
          <w:rFonts w:hint="eastAsia" w:ascii="方正小标宋_GBK" w:hAnsi="方正小标宋_GBK" w:eastAsia="方正小标宋_GBK" w:cs="方正小标宋_GBK"/>
          <w:sz w:val="32"/>
          <w:szCs w:val="32"/>
          <w:lang w:val="en-US" w:eastAsia="zh-CN"/>
        </w:rPr>
        <w:t>修订的必要性</w:t>
      </w:r>
    </w:p>
    <w:p w14:paraId="76C0D84D">
      <w:pPr>
        <w:tabs>
          <w:tab w:val="left" w:pos="5250"/>
        </w:tabs>
        <w:ind w:firstLine="960" w:firstLineChars="300"/>
        <w:jc w:val="both"/>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随着简政放权和行政审批制度改革的不断深入，进一步简化办事程序、精简申请材料是行政审批制度改革的必然要求。近期，国务院出台了《关于严格规范涉企检查的意见》（国办发（2024）54号），生态环境部出台了《关于规范涉企生态环境行政执法集中整治专项行动方案》，提出“不得擅自将入企检查作为行政许可、行政给付等行政行为的前提条件”。根据《中华人民共和国行政许可法》第三十一条的有关规定：“……</w:t>
      </w:r>
      <w:r>
        <w:rPr>
          <w:rFonts w:hint="default" w:ascii="方正仿宋_GBK" w:hAnsi="方正仿宋_GBK" w:eastAsia="方正仿宋_GBK" w:cs="方正仿宋_GBK"/>
          <w:sz w:val="32"/>
          <w:szCs w:val="32"/>
          <w:lang w:val="en-US" w:eastAsia="zh-CN"/>
        </w:rPr>
        <w:t>行政机关不得要求申请人提交与其申请的行政许可事项无关的技术资料和其他材料</w:t>
      </w:r>
      <w:r>
        <w:rPr>
          <w:rFonts w:hint="eastAsia" w:ascii="方正仿宋_GBK" w:hAnsi="方正仿宋_GBK" w:eastAsia="方正仿宋_GBK" w:cs="方正仿宋_GBK"/>
          <w:sz w:val="32"/>
          <w:szCs w:val="32"/>
          <w:lang w:val="en-US" w:eastAsia="zh-CN"/>
        </w:rPr>
        <w:t>”</w:t>
      </w:r>
      <w:r>
        <w:rPr>
          <w:rFonts w:hint="default" w:ascii="方正仿宋_GBK" w:hAnsi="方正仿宋_GBK" w:eastAsia="方正仿宋_GBK" w:cs="方正仿宋_GBK"/>
          <w:sz w:val="32"/>
          <w:szCs w:val="32"/>
          <w:lang w:val="en-US" w:eastAsia="zh-CN"/>
        </w:rPr>
        <w:t>。</w:t>
      </w:r>
    </w:p>
    <w:p w14:paraId="0FE1CCEC">
      <w:pPr>
        <w:numPr>
          <w:ilvl w:val="0"/>
          <w:numId w:val="0"/>
        </w:numPr>
        <w:ind w:leftChars="100" w:firstLine="640" w:firstLineChars="200"/>
        <w:jc w:val="both"/>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经梳理，该程序文件中要求：</w:t>
      </w:r>
      <w:r>
        <w:rPr>
          <w:rFonts w:hint="eastAsia" w:ascii="方正小标宋_GBK" w:hAnsi="方正小标宋_GBK" w:eastAsia="方正小标宋_GBK" w:cs="方正小标宋_GBK"/>
          <w:sz w:val="32"/>
          <w:szCs w:val="32"/>
          <w:lang w:val="en-US" w:eastAsia="zh-CN"/>
        </w:rPr>
        <w:t>在辐射安全许可证重新申领、延续时需要提交生态环境部门近1年内的监督检查意见</w:t>
      </w:r>
      <w:r>
        <w:rPr>
          <w:rFonts w:hint="eastAsia" w:ascii="方正仿宋_GBK" w:hAnsi="方正仿宋_GBK" w:eastAsia="方正仿宋_GBK" w:cs="方正仿宋_GBK"/>
          <w:sz w:val="32"/>
          <w:szCs w:val="32"/>
          <w:lang w:val="en-US" w:eastAsia="zh-CN"/>
        </w:rPr>
        <w:t>。这一申请材料的要求缺乏明确的法律法规规定，拟对该程序文件做出相应的修订。</w:t>
      </w:r>
    </w:p>
    <w:p w14:paraId="74BE5110">
      <w:pPr>
        <w:numPr>
          <w:ilvl w:val="0"/>
          <w:numId w:val="1"/>
        </w:numPr>
        <w:ind w:left="310" w:leftChars="0" w:firstLine="320" w:firstLineChars="0"/>
        <w:jc w:val="both"/>
        <w:rPr>
          <w:rFonts w:hint="eastAsia" w:ascii="方正小标宋_GBK" w:hAnsi="方正小标宋_GBK" w:eastAsia="方正小标宋_GBK" w:cs="方正小标宋_GBK"/>
          <w:sz w:val="32"/>
          <w:szCs w:val="32"/>
          <w:lang w:val="en-US" w:eastAsia="zh-CN"/>
        </w:rPr>
      </w:pPr>
      <w:r>
        <w:rPr>
          <w:rFonts w:hint="eastAsia" w:ascii="方正小标宋_GBK" w:hAnsi="方正小标宋_GBK" w:eastAsia="方正小标宋_GBK" w:cs="方正小标宋_GBK"/>
          <w:sz w:val="32"/>
          <w:szCs w:val="32"/>
          <w:lang w:val="en-US" w:eastAsia="zh-CN"/>
        </w:rPr>
        <w:t>修订依据</w:t>
      </w:r>
    </w:p>
    <w:p w14:paraId="1C77B02B">
      <w:pPr>
        <w:numPr>
          <w:ilvl w:val="0"/>
          <w:numId w:val="0"/>
        </w:numPr>
        <w:ind w:leftChars="100"/>
        <w:jc w:val="both"/>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    1. 《中华人民共和国行政许可法》</w:t>
      </w:r>
    </w:p>
    <w:p w14:paraId="0980E741">
      <w:pPr>
        <w:numPr>
          <w:ilvl w:val="0"/>
          <w:numId w:val="0"/>
        </w:numPr>
        <w:ind w:leftChars="100" w:firstLine="640" w:firstLineChars="200"/>
        <w:jc w:val="both"/>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2. 《中华人民共和国放射性污染防治法》</w:t>
      </w:r>
    </w:p>
    <w:p w14:paraId="7716487C">
      <w:pPr>
        <w:numPr>
          <w:ilvl w:val="0"/>
          <w:numId w:val="0"/>
        </w:numPr>
        <w:ind w:leftChars="100" w:firstLine="640" w:firstLineChars="200"/>
        <w:jc w:val="both"/>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3. 《放射性同位素与射线装置安全和防护条例》 </w:t>
      </w:r>
    </w:p>
    <w:p w14:paraId="5579E02D">
      <w:pPr>
        <w:numPr>
          <w:ilvl w:val="0"/>
          <w:numId w:val="0"/>
        </w:numPr>
        <w:ind w:leftChars="100" w:firstLine="640" w:firstLineChars="200"/>
        <w:jc w:val="both"/>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4. 《放射性同位素与射线装置安全许可管理办法》 </w:t>
      </w:r>
    </w:p>
    <w:p w14:paraId="11C5DE1D">
      <w:pPr>
        <w:numPr>
          <w:ilvl w:val="0"/>
          <w:numId w:val="0"/>
        </w:numPr>
        <w:ind w:leftChars="100" w:firstLine="640" w:firstLineChars="200"/>
        <w:jc w:val="both"/>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5. 《放射性同位素与射线装置安全和防护管理办法》</w:t>
      </w:r>
    </w:p>
    <w:p w14:paraId="109A001F">
      <w:pPr>
        <w:numPr>
          <w:ilvl w:val="0"/>
          <w:numId w:val="0"/>
        </w:numPr>
        <w:ind w:leftChars="100" w:firstLine="640" w:firstLineChars="200"/>
        <w:jc w:val="both"/>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6.《关于严格规范涉企检查的意见》（国办发（2024）54号）</w:t>
      </w:r>
    </w:p>
    <w:p w14:paraId="5615A758">
      <w:pPr>
        <w:numPr>
          <w:ilvl w:val="0"/>
          <w:numId w:val="1"/>
        </w:numPr>
        <w:ind w:left="310" w:leftChars="0" w:firstLine="320" w:firstLineChars="0"/>
        <w:jc w:val="both"/>
        <w:rPr>
          <w:rFonts w:hint="eastAsia" w:ascii="方正小标宋_GBK" w:hAnsi="方正小标宋_GBK" w:eastAsia="方正小标宋_GBK" w:cs="方正小标宋_GBK"/>
          <w:sz w:val="32"/>
          <w:szCs w:val="32"/>
          <w:lang w:val="en-US" w:eastAsia="zh-CN"/>
        </w:rPr>
      </w:pPr>
      <w:r>
        <w:rPr>
          <w:rFonts w:hint="eastAsia" w:ascii="方正小标宋_GBK" w:hAnsi="方正小标宋_GBK" w:eastAsia="方正小标宋_GBK" w:cs="方正小标宋_GBK"/>
          <w:sz w:val="32"/>
          <w:szCs w:val="32"/>
          <w:lang w:val="en-US" w:eastAsia="zh-CN"/>
        </w:rPr>
        <w:t>本次修订内容</w:t>
      </w:r>
    </w:p>
    <w:p w14:paraId="35E93750">
      <w:pPr>
        <w:numPr>
          <w:ilvl w:val="0"/>
          <w:numId w:val="2"/>
        </w:numPr>
        <w:snapToGrid w:val="0"/>
        <w:spacing w:line="590" w:lineRule="exact"/>
        <w:ind w:left="-120" w:leftChars="0" w:firstLine="960" w:firstLineChars="0"/>
        <w:rPr>
          <w:rFonts w:hint="eastAsia" w:ascii="Times New Roman" w:hAnsi="Times New Roman" w:eastAsia="方正黑体_GBK"/>
          <w:sz w:val="32"/>
          <w:szCs w:val="32"/>
          <w:lang w:val="en-US" w:eastAsia="zh-CN"/>
        </w:rPr>
      </w:pPr>
      <w:r>
        <w:rPr>
          <w:rFonts w:hint="eastAsia" w:ascii="Times New Roman" w:hAnsi="Times New Roman" w:eastAsia="方正黑体_GBK"/>
          <w:sz w:val="32"/>
          <w:szCs w:val="32"/>
          <w:lang w:val="en-US" w:eastAsia="zh-CN"/>
        </w:rPr>
        <w:t>附件1：P5.删除L3-L4；P6.删除L3-L4</w:t>
      </w:r>
    </w:p>
    <w:p w14:paraId="5771A3F3">
      <w:pPr>
        <w:numPr>
          <w:ilvl w:val="0"/>
          <w:numId w:val="2"/>
        </w:numPr>
        <w:tabs>
          <w:tab w:val="left" w:pos="4032"/>
        </w:tabs>
        <w:snapToGrid w:val="0"/>
        <w:spacing w:line="590" w:lineRule="exact"/>
        <w:ind w:left="-120" w:leftChars="0" w:firstLine="960" w:firstLineChars="0"/>
        <w:rPr>
          <w:rFonts w:hint="eastAsia" w:ascii="Times New Roman" w:hAnsi="Times New Roman" w:eastAsia="方正黑体_GBK"/>
          <w:sz w:val="32"/>
          <w:szCs w:val="32"/>
          <w:lang w:val="en-US" w:eastAsia="zh-CN"/>
        </w:rPr>
      </w:pPr>
      <w:r>
        <w:rPr>
          <w:rFonts w:hint="eastAsia" w:ascii="Times New Roman" w:hAnsi="Times New Roman" w:eastAsia="方正黑体_GBK"/>
          <w:sz w:val="32"/>
          <w:szCs w:val="32"/>
          <w:lang w:val="en-US" w:eastAsia="zh-CN"/>
        </w:rPr>
        <w:t>附件4：P33.删除 序号8</w:t>
      </w:r>
    </w:p>
    <w:p w14:paraId="721EF0F0">
      <w:pPr>
        <w:keepNext w:val="0"/>
        <w:keepLines w:val="0"/>
        <w:widowControl w:val="0"/>
        <w:numPr>
          <w:ilvl w:val="0"/>
          <w:numId w:val="2"/>
        </w:numPr>
        <w:suppressLineNumbers w:val="0"/>
        <w:autoSpaceDE w:val="0"/>
        <w:autoSpaceDN w:val="0"/>
        <w:snapToGrid w:val="0"/>
        <w:spacing w:before="0" w:beforeAutospacing="0" w:after="0" w:afterAutospacing="0" w:line="590" w:lineRule="atLeast"/>
        <w:ind w:left="-120" w:leftChars="0" w:right="0" w:firstLine="960" w:firstLineChars="0"/>
        <w:jc w:val="both"/>
        <w:rPr>
          <w:rFonts w:hint="eastAsia" w:ascii="Times New Roman" w:hAnsi="Times New Roman" w:eastAsia="方正黑体_GBK"/>
          <w:sz w:val="32"/>
          <w:szCs w:val="32"/>
          <w:lang w:val="en-US" w:eastAsia="zh-CN"/>
        </w:rPr>
      </w:pPr>
      <w:r>
        <w:rPr>
          <w:rFonts w:hint="eastAsia" w:ascii="Times New Roman" w:hAnsi="Times New Roman" w:eastAsia="方正黑体_GBK"/>
          <w:sz w:val="32"/>
          <w:szCs w:val="32"/>
          <w:lang w:val="en-US" w:eastAsia="zh-CN"/>
        </w:rPr>
        <w:t>附件5：P34.删除 序号 4</w:t>
      </w:r>
    </w:p>
    <w:p w14:paraId="3B73EB62">
      <w:pPr>
        <w:numPr>
          <w:ilvl w:val="0"/>
          <w:numId w:val="0"/>
        </w:numPr>
        <w:ind w:leftChars="100" w:firstLine="640" w:firstLineChars="200"/>
        <w:jc w:val="both"/>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由于本次修订内容时间紧、任务急，且仅对原程序文件中4处出现的同一问题进行删减，且前期已有部分设区市在执行过程中遇到过办理对象对这一问题的质疑，本次修订未全面书面征求意见，只通过电话沟通听取了部分地区意见。</w:t>
      </w:r>
    </w:p>
    <w:p w14:paraId="3DDDC974">
      <w:pPr>
        <w:numPr>
          <w:ilvl w:val="0"/>
          <w:numId w:val="0"/>
        </w:numPr>
        <w:ind w:leftChars="100"/>
        <w:jc w:val="both"/>
        <w:rPr>
          <w:rFonts w:hint="eastAsia" w:ascii="方正仿宋_GBK" w:hAnsi="方正仿宋_GBK" w:eastAsia="方正仿宋_GBK" w:cs="方正仿宋_GBK"/>
          <w:sz w:val="32"/>
          <w:szCs w:val="32"/>
          <w:lang w:val="en-US" w:eastAsia="zh-CN"/>
        </w:rPr>
      </w:pPr>
    </w:p>
    <w:p w14:paraId="2B40183B">
      <w:pPr>
        <w:numPr>
          <w:ilvl w:val="0"/>
          <w:numId w:val="0"/>
        </w:numPr>
        <w:ind w:leftChars="100"/>
        <w:jc w:val="both"/>
        <w:rPr>
          <w:rFonts w:hint="eastAsia" w:ascii="方正仿宋_GBK" w:hAnsi="方正仿宋_GBK" w:eastAsia="方正仿宋_GBK" w:cs="方正仿宋_GBK"/>
          <w:sz w:val="32"/>
          <w:szCs w:val="32"/>
          <w:lang w:val="en-US" w:eastAsia="zh-CN"/>
        </w:rPr>
      </w:pPr>
    </w:p>
    <w:bookmarkEnd w:id="0"/>
    <w:p w14:paraId="4B9F7041">
      <w:pPr>
        <w:keepNext w:val="0"/>
        <w:keepLines w:val="0"/>
        <w:widowControl w:val="0"/>
        <w:numPr>
          <w:ilvl w:val="0"/>
          <w:numId w:val="0"/>
        </w:numPr>
        <w:suppressLineNumbers w:val="0"/>
        <w:autoSpaceDE w:val="0"/>
        <w:autoSpaceDN w:val="0"/>
        <w:snapToGrid w:val="0"/>
        <w:spacing w:before="0" w:beforeAutospacing="0" w:after="0" w:afterAutospacing="0" w:line="590" w:lineRule="atLeast"/>
        <w:ind w:leftChars="300" w:right="0" w:rightChars="0"/>
        <w:jc w:val="both"/>
        <w:rPr>
          <w:rFonts w:hint="eastAsia" w:ascii="Times New Roman" w:hAnsi="Times New Roman" w:eastAsia="方正黑体_GBK"/>
          <w:sz w:val="32"/>
          <w:szCs w:val="32"/>
          <w:lang w:val="en-US" w:eastAsia="zh-CN"/>
        </w:rPr>
      </w:pPr>
    </w:p>
    <w:p w14:paraId="1CEB78B8">
      <w:pPr>
        <w:keepNext w:val="0"/>
        <w:keepLines w:val="0"/>
        <w:widowControl w:val="0"/>
        <w:numPr>
          <w:ilvl w:val="0"/>
          <w:numId w:val="0"/>
        </w:numPr>
        <w:suppressLineNumbers w:val="0"/>
        <w:autoSpaceDE w:val="0"/>
        <w:autoSpaceDN w:val="0"/>
        <w:snapToGrid w:val="0"/>
        <w:spacing w:before="0" w:beforeAutospacing="0" w:after="0" w:afterAutospacing="0" w:line="590" w:lineRule="atLeast"/>
        <w:ind w:leftChars="300" w:right="0" w:rightChars="0"/>
        <w:jc w:val="both"/>
        <w:rPr>
          <w:rFonts w:hint="eastAsia" w:ascii="Times New Roman" w:hAnsi="Times New Roman" w:eastAsia="方正黑体_GBK"/>
          <w:sz w:val="32"/>
          <w:szCs w:val="32"/>
          <w:lang w:val="en-US" w:eastAsia="zh-CN"/>
        </w:rPr>
      </w:pPr>
      <w:r>
        <w:rPr>
          <w:rFonts w:hint="eastAsia" w:ascii="Times New Roman" w:hAnsi="Times New Roman" w:eastAsia="方正黑体_GBK"/>
          <w:sz w:val="32"/>
          <w:szCs w:val="32"/>
          <w:lang w:val="en-US" w:eastAsia="zh-CN"/>
        </w:rPr>
        <w:t xml:space="preserve">                                   核管局</w:t>
      </w:r>
    </w:p>
    <w:p w14:paraId="52CCA37A">
      <w:pPr>
        <w:keepNext w:val="0"/>
        <w:keepLines w:val="0"/>
        <w:widowControl w:val="0"/>
        <w:numPr>
          <w:ilvl w:val="0"/>
          <w:numId w:val="0"/>
        </w:numPr>
        <w:suppressLineNumbers w:val="0"/>
        <w:autoSpaceDE w:val="0"/>
        <w:autoSpaceDN w:val="0"/>
        <w:snapToGrid w:val="0"/>
        <w:spacing w:before="0" w:beforeAutospacing="0" w:after="0" w:afterAutospacing="0" w:line="590" w:lineRule="atLeast"/>
        <w:ind w:leftChars="300" w:right="0" w:rightChars="0" w:firstLine="5120" w:firstLineChars="1600"/>
        <w:jc w:val="both"/>
        <w:rPr>
          <w:rFonts w:hint="default" w:ascii="Times New Roman" w:hAnsi="Times New Roman" w:eastAsia="方正黑体_GBK"/>
          <w:sz w:val="32"/>
          <w:szCs w:val="32"/>
          <w:lang w:val="en-US" w:eastAsia="zh-CN"/>
        </w:rPr>
      </w:pPr>
      <w:r>
        <w:rPr>
          <w:rFonts w:hint="eastAsia" w:ascii="Times New Roman" w:hAnsi="Times New Roman" w:eastAsia="方正黑体_GBK"/>
          <w:sz w:val="32"/>
          <w:szCs w:val="32"/>
          <w:lang w:val="en-US" w:eastAsia="zh-CN"/>
        </w:rPr>
        <w:t>2025年5月29日</w:t>
      </w:r>
    </w:p>
    <w:sectPr>
      <w:headerReference r:id="rId3" w:type="default"/>
      <w:footerReference r:id="rId4" w:type="default"/>
      <w:pgSz w:w="11906" w:h="16838"/>
      <w:pgMar w:top="1814" w:right="1531" w:bottom="1985" w:left="1531" w:header="851" w:footer="992" w:gutter="0"/>
      <w:pgNumType w:fmt="decimal"/>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8"/>
    <w:family w:val="roman"/>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10BF">
    <w:pPr>
      <w:pStyle w:val="3"/>
      <w:spacing w:line="240" w:lineRule="auto"/>
      <w:ind w:left="0" w:right="0"/>
      <w:jc w:val="left"/>
      <w:rPr>
        <w:b w:val="0"/>
        <w:sz w:val="20"/>
      </w:rPr>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ADC520">
                          <w:pPr>
                            <w:pStyle w:val="5"/>
                            <w:rPr>
                              <w:rFonts w:ascii="Times New Roman" w:hAnsi="Times New Roman" w:cs="Times New Roman"/>
                              <w:sz w:val="28"/>
                              <w:szCs w:val="28"/>
                            </w:rPr>
                          </w:pPr>
                          <w:r>
                            <w:rPr>
                              <w:rFonts w:ascii="Times New Roman" w:hAnsi="Times New Roman" w:cs="Times New Roman"/>
                              <w:sz w:val="32"/>
                              <w:szCs w:val="32"/>
                            </w:rPr>
                            <w:t xml:space="preserve">— </w:t>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  \* MERGEFORMAT </w:instrText>
                          </w:r>
                          <w:r>
                            <w:rPr>
                              <w:rFonts w:ascii="Times New Roman" w:hAnsi="Times New Roman" w:cs="Times New Roman"/>
                              <w:sz w:val="32"/>
                              <w:szCs w:val="32"/>
                            </w:rPr>
                            <w:fldChar w:fldCharType="separate"/>
                          </w:r>
                          <w:r>
                            <w:rPr>
                              <w:rFonts w:ascii="Times New Roman" w:hAnsi="Times New Roman" w:cs="Times New Roman"/>
                              <w:sz w:val="32"/>
                              <w:szCs w:val="32"/>
                            </w:rPr>
                            <w:t>6</w:t>
                          </w:r>
                          <w:r>
                            <w:rPr>
                              <w:rFonts w:ascii="Times New Roman" w:hAnsi="Times New Roman" w:cs="Times New Roman"/>
                              <w:sz w:val="32"/>
                              <w:szCs w:val="32"/>
                            </w:rPr>
                            <w:fldChar w:fldCharType="end"/>
                          </w:r>
                          <w:r>
                            <w:rPr>
                              <w:rFonts w:ascii="Times New Roman" w:hAnsi="Times New Roman" w:cs="Times New Roman"/>
                              <w:sz w:val="32"/>
                              <w:szCs w:val="32"/>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04ADC520">
                    <w:pPr>
                      <w:pStyle w:val="5"/>
                      <w:rPr>
                        <w:rFonts w:ascii="Times New Roman" w:hAnsi="Times New Roman" w:cs="Times New Roman"/>
                        <w:sz w:val="28"/>
                        <w:szCs w:val="28"/>
                      </w:rPr>
                    </w:pPr>
                    <w:r>
                      <w:rPr>
                        <w:rFonts w:ascii="Times New Roman" w:hAnsi="Times New Roman" w:cs="Times New Roman"/>
                        <w:sz w:val="32"/>
                        <w:szCs w:val="32"/>
                      </w:rPr>
                      <w:t xml:space="preserve">— </w:t>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  \* MERGEFORMAT </w:instrText>
                    </w:r>
                    <w:r>
                      <w:rPr>
                        <w:rFonts w:ascii="Times New Roman" w:hAnsi="Times New Roman" w:cs="Times New Roman"/>
                        <w:sz w:val="32"/>
                        <w:szCs w:val="32"/>
                      </w:rPr>
                      <w:fldChar w:fldCharType="separate"/>
                    </w:r>
                    <w:r>
                      <w:rPr>
                        <w:rFonts w:ascii="Times New Roman" w:hAnsi="Times New Roman" w:cs="Times New Roman"/>
                        <w:sz w:val="32"/>
                        <w:szCs w:val="32"/>
                      </w:rPr>
                      <w:t>6</w:t>
                    </w:r>
                    <w:r>
                      <w:rPr>
                        <w:rFonts w:ascii="Times New Roman" w:hAnsi="Times New Roman" w:cs="Times New Roman"/>
                        <w:sz w:val="32"/>
                        <w:szCs w:val="32"/>
                      </w:rPr>
                      <w:fldChar w:fldCharType="end"/>
                    </w:r>
                    <w:r>
                      <w:rPr>
                        <w:rFonts w:ascii="Times New Roman" w:hAnsi="Times New Roman" w:cs="Times New Roman"/>
                        <w:sz w:val="32"/>
                        <w:szCs w:val="32"/>
                      </w:rPr>
                      <w:t xml:space="preserve"> —</w:t>
                    </w:r>
                  </w:p>
                </w:txbxContent>
              </v:textbox>
            </v:shape>
          </w:pict>
        </mc:Fallback>
      </mc:AlternateContent>
    </w:r>
    <w:r>
      <w:rPr>
        <w:lang w:val="en-US" w:bidi="ar-SA"/>
      </w:rPr>
      <mc:AlternateContent>
        <mc:Choice Requires="wps">
          <w:drawing>
            <wp:anchor distT="0" distB="0" distL="114300" distR="114300" simplePos="0" relativeHeight="251659264" behindDoc="1" locked="0" layoutInCell="1" allowOverlap="1">
              <wp:simplePos x="0" y="0"/>
              <wp:positionH relativeFrom="page">
                <wp:posOffset>5311140</wp:posOffset>
              </wp:positionH>
              <wp:positionV relativeFrom="page">
                <wp:posOffset>6573520</wp:posOffset>
              </wp:positionV>
              <wp:extent cx="140335" cy="203835"/>
              <wp:effectExtent l="0" t="0" r="0" b="0"/>
              <wp:wrapNone/>
              <wp:docPr id="5" name="Text Box 1"/>
              <wp:cNvGraphicFramePr/>
              <a:graphic xmlns:a="http://schemas.openxmlformats.org/drawingml/2006/main">
                <a:graphicData uri="http://schemas.microsoft.com/office/word/2010/wordprocessingShape">
                  <wps:wsp>
                    <wps:cNvSpPr txBox="1">
                      <a:spLocks noChangeArrowheads="1"/>
                    </wps:cNvSpPr>
                    <wps:spPr bwMode="auto">
                      <a:xfrm>
                        <a:off x="0" y="0"/>
                        <a:ext cx="140335" cy="203835"/>
                      </a:xfrm>
                      <a:prstGeom prst="rect">
                        <a:avLst/>
                      </a:prstGeom>
                      <a:noFill/>
                      <a:ln>
                        <a:noFill/>
                      </a:ln>
                    </wps:spPr>
                    <wps:txbx>
                      <w:txbxContent>
                        <w:p w14:paraId="2C64529C">
                          <w:pPr>
                            <w:spacing w:line="321" w:lineRule="exact"/>
                            <w:rPr>
                              <w:rFonts w:ascii="宋体"/>
                              <w:sz w:val="28"/>
                            </w:rPr>
                          </w:pP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418.2pt;margin-top:517.6pt;height:16.05pt;width:11.05pt;mso-position-horizontal-relative:page;mso-position-vertical-relative:page;z-index:-251657216;mso-width-relative:page;mso-height-relative:page;" filled="f" stroked="f" coordsize="21600,21600" o:gfxdata="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Cnjzn2wAAAA0BAAAPAAAAAAAAAAEAIAAAACIAAABkcnMvZG93bnJl&#10;di54bWxQSwECFAAUAAAACACHTuJAe2L3PPoBAAADBAAADgAAAAAAAAABACAAAAAqAQAAZHJzL2Uy&#10;b0RvYy54bWxQSwUGAAAAAAYABgBZAQAAlgUAAAAA&#10;">
              <v:fill on="f" focussize="0,0"/>
              <v:stroke on="f"/>
              <v:imagedata o:title=""/>
              <o:lock v:ext="edit" aspectratio="f"/>
              <v:textbox inset="0mm,0mm,0mm,0mm">
                <w:txbxContent>
                  <w:p w14:paraId="2C64529C">
                    <w:pPr>
                      <w:spacing w:line="321" w:lineRule="exact"/>
                      <w:rPr>
                        <w:rFonts w:ascii="宋体"/>
                        <w:sz w:val="2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98438">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F5930C"/>
    <w:multiLevelType w:val="singleLevel"/>
    <w:tmpl w:val="E6F5930C"/>
    <w:lvl w:ilvl="0" w:tentative="0">
      <w:start w:val="1"/>
      <w:numFmt w:val="decimal"/>
      <w:suff w:val="nothing"/>
      <w:lvlText w:val="%1、"/>
      <w:lvlJc w:val="left"/>
      <w:pPr>
        <w:ind w:left="-120"/>
      </w:pPr>
    </w:lvl>
  </w:abstractNum>
  <w:abstractNum w:abstractNumId="1">
    <w:nsid w:val="F37DAA72"/>
    <w:multiLevelType w:val="singleLevel"/>
    <w:tmpl w:val="F37DAA72"/>
    <w:lvl w:ilvl="0" w:tentative="0">
      <w:start w:val="1"/>
      <w:numFmt w:val="chineseCounting"/>
      <w:suff w:val="nothing"/>
      <w:lvlText w:val="%1、"/>
      <w:lvlJc w:val="left"/>
      <w:pPr>
        <w:ind w:left="-11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yZWIwNzNjOWMwYWQ4NWFlMmQ3M2EwZDQxMTczNGIifQ=="/>
  </w:docVars>
  <w:rsids>
    <w:rsidRoot w:val="004B7ED7"/>
    <w:rsid w:val="00005CBE"/>
    <w:rsid w:val="00007498"/>
    <w:rsid w:val="00013A3C"/>
    <w:rsid w:val="00015423"/>
    <w:rsid w:val="000227AC"/>
    <w:rsid w:val="00022F90"/>
    <w:rsid w:val="0004129A"/>
    <w:rsid w:val="0006300A"/>
    <w:rsid w:val="00080EBA"/>
    <w:rsid w:val="00091452"/>
    <w:rsid w:val="000B46C9"/>
    <w:rsid w:val="000C3AB4"/>
    <w:rsid w:val="000C5393"/>
    <w:rsid w:val="000F20DD"/>
    <w:rsid w:val="000F324B"/>
    <w:rsid w:val="000F4DEF"/>
    <w:rsid w:val="00103B3C"/>
    <w:rsid w:val="00103F28"/>
    <w:rsid w:val="00104E35"/>
    <w:rsid w:val="00107D72"/>
    <w:rsid w:val="00120857"/>
    <w:rsid w:val="001379D6"/>
    <w:rsid w:val="0014433B"/>
    <w:rsid w:val="00161215"/>
    <w:rsid w:val="001715A8"/>
    <w:rsid w:val="001751A4"/>
    <w:rsid w:val="00196F59"/>
    <w:rsid w:val="001A0DB3"/>
    <w:rsid w:val="001C3A32"/>
    <w:rsid w:val="001C6CF0"/>
    <w:rsid w:val="0020124D"/>
    <w:rsid w:val="00211447"/>
    <w:rsid w:val="002173E3"/>
    <w:rsid w:val="002202FC"/>
    <w:rsid w:val="002303EE"/>
    <w:rsid w:val="00237EB5"/>
    <w:rsid w:val="00245BD5"/>
    <w:rsid w:val="00254DBB"/>
    <w:rsid w:val="0028564B"/>
    <w:rsid w:val="0028792F"/>
    <w:rsid w:val="00291EA3"/>
    <w:rsid w:val="002960C6"/>
    <w:rsid w:val="0029711A"/>
    <w:rsid w:val="002A65A1"/>
    <w:rsid w:val="002C0BAA"/>
    <w:rsid w:val="002D48A9"/>
    <w:rsid w:val="002D6458"/>
    <w:rsid w:val="002E4E8C"/>
    <w:rsid w:val="002E6068"/>
    <w:rsid w:val="002F7462"/>
    <w:rsid w:val="00303A13"/>
    <w:rsid w:val="00320C8A"/>
    <w:rsid w:val="003259CF"/>
    <w:rsid w:val="003339DE"/>
    <w:rsid w:val="00335E64"/>
    <w:rsid w:val="00345B16"/>
    <w:rsid w:val="0036618C"/>
    <w:rsid w:val="0037183A"/>
    <w:rsid w:val="00381E4D"/>
    <w:rsid w:val="00382EB8"/>
    <w:rsid w:val="003B468F"/>
    <w:rsid w:val="003C061B"/>
    <w:rsid w:val="003D03C5"/>
    <w:rsid w:val="003E2599"/>
    <w:rsid w:val="003E63B6"/>
    <w:rsid w:val="00402513"/>
    <w:rsid w:val="00405F54"/>
    <w:rsid w:val="004107E1"/>
    <w:rsid w:val="00414F46"/>
    <w:rsid w:val="00433214"/>
    <w:rsid w:val="00433B4F"/>
    <w:rsid w:val="00437EED"/>
    <w:rsid w:val="0044242B"/>
    <w:rsid w:val="00451BA7"/>
    <w:rsid w:val="00467FD8"/>
    <w:rsid w:val="0047780C"/>
    <w:rsid w:val="00497837"/>
    <w:rsid w:val="004A3613"/>
    <w:rsid w:val="004B7ED7"/>
    <w:rsid w:val="004D71D4"/>
    <w:rsid w:val="004D7A39"/>
    <w:rsid w:val="00500164"/>
    <w:rsid w:val="0050042E"/>
    <w:rsid w:val="00504898"/>
    <w:rsid w:val="0054274A"/>
    <w:rsid w:val="00547DA8"/>
    <w:rsid w:val="00584B57"/>
    <w:rsid w:val="00597D5E"/>
    <w:rsid w:val="005A5C0E"/>
    <w:rsid w:val="005E1AAD"/>
    <w:rsid w:val="005F10DD"/>
    <w:rsid w:val="006064D6"/>
    <w:rsid w:val="00616B68"/>
    <w:rsid w:val="00620367"/>
    <w:rsid w:val="006243BC"/>
    <w:rsid w:val="006815F3"/>
    <w:rsid w:val="00692C56"/>
    <w:rsid w:val="00695F08"/>
    <w:rsid w:val="006A23C0"/>
    <w:rsid w:val="006B0B87"/>
    <w:rsid w:val="006B5754"/>
    <w:rsid w:val="006C7940"/>
    <w:rsid w:val="006D3346"/>
    <w:rsid w:val="00702BD0"/>
    <w:rsid w:val="00744124"/>
    <w:rsid w:val="007568DD"/>
    <w:rsid w:val="00766285"/>
    <w:rsid w:val="007806E0"/>
    <w:rsid w:val="007A224B"/>
    <w:rsid w:val="007A4AE7"/>
    <w:rsid w:val="007A5AC6"/>
    <w:rsid w:val="007B0151"/>
    <w:rsid w:val="007B6306"/>
    <w:rsid w:val="007D72CE"/>
    <w:rsid w:val="007E0DDA"/>
    <w:rsid w:val="007E5808"/>
    <w:rsid w:val="0080497C"/>
    <w:rsid w:val="00810ED1"/>
    <w:rsid w:val="00811AE7"/>
    <w:rsid w:val="008250E6"/>
    <w:rsid w:val="0084140F"/>
    <w:rsid w:val="0086796E"/>
    <w:rsid w:val="00872112"/>
    <w:rsid w:val="008744A0"/>
    <w:rsid w:val="0087645F"/>
    <w:rsid w:val="00897EAC"/>
    <w:rsid w:val="008A3C57"/>
    <w:rsid w:val="008C5A3B"/>
    <w:rsid w:val="008D3FB0"/>
    <w:rsid w:val="008E0029"/>
    <w:rsid w:val="008F6BCB"/>
    <w:rsid w:val="009077B3"/>
    <w:rsid w:val="009501DA"/>
    <w:rsid w:val="00966516"/>
    <w:rsid w:val="00972CDB"/>
    <w:rsid w:val="009815A8"/>
    <w:rsid w:val="00982F2F"/>
    <w:rsid w:val="00987AC1"/>
    <w:rsid w:val="009960AD"/>
    <w:rsid w:val="009A2D86"/>
    <w:rsid w:val="009A58F7"/>
    <w:rsid w:val="009B6090"/>
    <w:rsid w:val="009D7EC8"/>
    <w:rsid w:val="009F72DB"/>
    <w:rsid w:val="00A501F1"/>
    <w:rsid w:val="00A667B7"/>
    <w:rsid w:val="00A73F64"/>
    <w:rsid w:val="00A85EC2"/>
    <w:rsid w:val="00A91D18"/>
    <w:rsid w:val="00A920AA"/>
    <w:rsid w:val="00A9523C"/>
    <w:rsid w:val="00AA3234"/>
    <w:rsid w:val="00AB7459"/>
    <w:rsid w:val="00AC28A6"/>
    <w:rsid w:val="00AC4C18"/>
    <w:rsid w:val="00AD2A5E"/>
    <w:rsid w:val="00AF5430"/>
    <w:rsid w:val="00AF6862"/>
    <w:rsid w:val="00B22D08"/>
    <w:rsid w:val="00B260E1"/>
    <w:rsid w:val="00B476F8"/>
    <w:rsid w:val="00B677E5"/>
    <w:rsid w:val="00B82523"/>
    <w:rsid w:val="00B90128"/>
    <w:rsid w:val="00B933E4"/>
    <w:rsid w:val="00BA5564"/>
    <w:rsid w:val="00BB13F2"/>
    <w:rsid w:val="00BC19DA"/>
    <w:rsid w:val="00BC2391"/>
    <w:rsid w:val="00BC35A8"/>
    <w:rsid w:val="00BE0C76"/>
    <w:rsid w:val="00BE570A"/>
    <w:rsid w:val="00BF6694"/>
    <w:rsid w:val="00C041B4"/>
    <w:rsid w:val="00C2433D"/>
    <w:rsid w:val="00C261C7"/>
    <w:rsid w:val="00C262D3"/>
    <w:rsid w:val="00C327C9"/>
    <w:rsid w:val="00C37234"/>
    <w:rsid w:val="00C42EF7"/>
    <w:rsid w:val="00C45B69"/>
    <w:rsid w:val="00C475A1"/>
    <w:rsid w:val="00C53732"/>
    <w:rsid w:val="00C73B82"/>
    <w:rsid w:val="00C8331E"/>
    <w:rsid w:val="00C87260"/>
    <w:rsid w:val="00CA5453"/>
    <w:rsid w:val="00D264ED"/>
    <w:rsid w:val="00D303B9"/>
    <w:rsid w:val="00D611FF"/>
    <w:rsid w:val="00D7770E"/>
    <w:rsid w:val="00D80094"/>
    <w:rsid w:val="00DE5840"/>
    <w:rsid w:val="00DF14D8"/>
    <w:rsid w:val="00E01BCC"/>
    <w:rsid w:val="00E0616A"/>
    <w:rsid w:val="00E15C9B"/>
    <w:rsid w:val="00E23B9C"/>
    <w:rsid w:val="00E41DC7"/>
    <w:rsid w:val="00E54C65"/>
    <w:rsid w:val="00E602EB"/>
    <w:rsid w:val="00E62FCA"/>
    <w:rsid w:val="00E645BE"/>
    <w:rsid w:val="00E74479"/>
    <w:rsid w:val="00E75E49"/>
    <w:rsid w:val="00E82131"/>
    <w:rsid w:val="00EA2C7D"/>
    <w:rsid w:val="00ED1755"/>
    <w:rsid w:val="00EE5291"/>
    <w:rsid w:val="00F23BFB"/>
    <w:rsid w:val="00F262A0"/>
    <w:rsid w:val="00F308BF"/>
    <w:rsid w:val="00F3232E"/>
    <w:rsid w:val="00F5629C"/>
    <w:rsid w:val="00F727D7"/>
    <w:rsid w:val="00F90628"/>
    <w:rsid w:val="00F9174B"/>
    <w:rsid w:val="00FA2114"/>
    <w:rsid w:val="00FB0507"/>
    <w:rsid w:val="00FB17D4"/>
    <w:rsid w:val="00FC408A"/>
    <w:rsid w:val="00FD05E8"/>
    <w:rsid w:val="01A227B2"/>
    <w:rsid w:val="01BD35AB"/>
    <w:rsid w:val="03312CAE"/>
    <w:rsid w:val="067C7EBE"/>
    <w:rsid w:val="086E213C"/>
    <w:rsid w:val="08BD5C36"/>
    <w:rsid w:val="093F343F"/>
    <w:rsid w:val="0D202E3C"/>
    <w:rsid w:val="0F642FAE"/>
    <w:rsid w:val="12782D7A"/>
    <w:rsid w:val="146124BC"/>
    <w:rsid w:val="147F03B9"/>
    <w:rsid w:val="150547CC"/>
    <w:rsid w:val="15122BA8"/>
    <w:rsid w:val="16874B8E"/>
    <w:rsid w:val="1C8A0098"/>
    <w:rsid w:val="201B264F"/>
    <w:rsid w:val="207812B9"/>
    <w:rsid w:val="20D57225"/>
    <w:rsid w:val="21366919"/>
    <w:rsid w:val="22266AF2"/>
    <w:rsid w:val="2448100E"/>
    <w:rsid w:val="27044509"/>
    <w:rsid w:val="276A5364"/>
    <w:rsid w:val="28BA7BC6"/>
    <w:rsid w:val="2AE21499"/>
    <w:rsid w:val="2B9971A7"/>
    <w:rsid w:val="2BFDDCEF"/>
    <w:rsid w:val="2D7574E7"/>
    <w:rsid w:val="351647A5"/>
    <w:rsid w:val="35366BF5"/>
    <w:rsid w:val="35E84ABE"/>
    <w:rsid w:val="3AB3081C"/>
    <w:rsid w:val="3CB44FCF"/>
    <w:rsid w:val="3FED0FF3"/>
    <w:rsid w:val="40A1586A"/>
    <w:rsid w:val="4276728D"/>
    <w:rsid w:val="44B07BCE"/>
    <w:rsid w:val="46544495"/>
    <w:rsid w:val="472A3AEA"/>
    <w:rsid w:val="48650961"/>
    <w:rsid w:val="48B87865"/>
    <w:rsid w:val="48D2660B"/>
    <w:rsid w:val="4B381FE7"/>
    <w:rsid w:val="4CAF593E"/>
    <w:rsid w:val="4D1F7300"/>
    <w:rsid w:val="4DD34821"/>
    <w:rsid w:val="4E245A01"/>
    <w:rsid w:val="510D474B"/>
    <w:rsid w:val="51390906"/>
    <w:rsid w:val="520839E6"/>
    <w:rsid w:val="564360F2"/>
    <w:rsid w:val="5681409B"/>
    <w:rsid w:val="57275958"/>
    <w:rsid w:val="57C7101D"/>
    <w:rsid w:val="58492B91"/>
    <w:rsid w:val="59BE1C3A"/>
    <w:rsid w:val="5D7A283A"/>
    <w:rsid w:val="5D9F62E1"/>
    <w:rsid w:val="5EDB5C95"/>
    <w:rsid w:val="5FB6C4B7"/>
    <w:rsid w:val="65533C99"/>
    <w:rsid w:val="65F20792"/>
    <w:rsid w:val="69A37281"/>
    <w:rsid w:val="69CD45A5"/>
    <w:rsid w:val="6BFE5EF9"/>
    <w:rsid w:val="6BFF56F4"/>
    <w:rsid w:val="6CBFA051"/>
    <w:rsid w:val="6D440237"/>
    <w:rsid w:val="6D8D55DF"/>
    <w:rsid w:val="6E9C6245"/>
    <w:rsid w:val="71AE0386"/>
    <w:rsid w:val="71F02F80"/>
    <w:rsid w:val="72736102"/>
    <w:rsid w:val="73E1592B"/>
    <w:rsid w:val="746A3BEA"/>
    <w:rsid w:val="766FE4E3"/>
    <w:rsid w:val="77965AFB"/>
    <w:rsid w:val="77D6565F"/>
    <w:rsid w:val="77F80F29"/>
    <w:rsid w:val="78A9617D"/>
    <w:rsid w:val="7B6D6762"/>
    <w:rsid w:val="7D8A247C"/>
    <w:rsid w:val="7E7A2C7B"/>
    <w:rsid w:val="7E8A32C3"/>
    <w:rsid w:val="7F0832FC"/>
    <w:rsid w:val="7FF3623E"/>
    <w:rsid w:val="8E3E0CF4"/>
    <w:rsid w:val="96A562B3"/>
    <w:rsid w:val="BDCFAF1E"/>
    <w:rsid w:val="BDE6A015"/>
    <w:rsid w:val="BFFF1045"/>
    <w:rsid w:val="C75DBFC5"/>
    <w:rsid w:val="CF7D32EC"/>
    <w:rsid w:val="DFAF96AA"/>
    <w:rsid w:val="E9793559"/>
    <w:rsid w:val="ECFE6C3E"/>
    <w:rsid w:val="EFDE2BFE"/>
    <w:rsid w:val="FAEBE4D5"/>
    <w:rsid w:val="FBFCA591"/>
    <w:rsid w:val="FD8C2DAC"/>
    <w:rsid w:val="FEFEE6AB"/>
    <w:rsid w:val="FF1FD6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link w:val="22"/>
    <w:autoRedefine/>
    <w:semiHidden/>
    <w:unhideWhenUsed/>
    <w:qFormat/>
    <w:uiPriority w:val="99"/>
    <w:pPr>
      <w:jc w:val="left"/>
    </w:pPr>
  </w:style>
  <w:style w:type="paragraph" w:styleId="3">
    <w:name w:val="Body Text"/>
    <w:basedOn w:val="1"/>
    <w:link w:val="15"/>
    <w:autoRedefine/>
    <w:qFormat/>
    <w:uiPriority w:val="1"/>
    <w:pPr>
      <w:autoSpaceDE w:val="0"/>
      <w:autoSpaceDN w:val="0"/>
      <w:ind w:left="1950" w:right="1957"/>
      <w:jc w:val="center"/>
    </w:pPr>
    <w:rPr>
      <w:rFonts w:ascii="华文中宋" w:hAnsi="华文中宋" w:eastAsia="华文中宋" w:cs="华文中宋"/>
      <w:b/>
      <w:bCs/>
      <w:kern w:val="0"/>
      <w:sz w:val="36"/>
      <w:szCs w:val="36"/>
      <w:lang w:val="zh-CN" w:bidi="zh-CN"/>
    </w:rPr>
  </w:style>
  <w:style w:type="paragraph" w:styleId="4">
    <w:name w:val="Balloon Text"/>
    <w:basedOn w:val="1"/>
    <w:link w:val="24"/>
    <w:autoRedefine/>
    <w:semiHidden/>
    <w:unhideWhenUsed/>
    <w:qFormat/>
    <w:uiPriority w:val="99"/>
    <w:rPr>
      <w:sz w:val="18"/>
      <w:szCs w:val="18"/>
    </w:rPr>
  </w:style>
  <w:style w:type="paragraph" w:styleId="5">
    <w:name w:val="footer"/>
    <w:basedOn w:val="1"/>
    <w:link w:val="16"/>
    <w:autoRedefine/>
    <w:qFormat/>
    <w:uiPriority w:val="0"/>
    <w:pPr>
      <w:tabs>
        <w:tab w:val="center" w:pos="4153"/>
        <w:tab w:val="right" w:pos="8306"/>
      </w:tabs>
      <w:autoSpaceDE w:val="0"/>
      <w:autoSpaceDN w:val="0"/>
      <w:snapToGrid w:val="0"/>
      <w:jc w:val="left"/>
    </w:pPr>
    <w:rPr>
      <w:rFonts w:ascii="仿宋" w:hAnsi="仿宋" w:eastAsia="仿宋" w:cs="仿宋"/>
      <w:kern w:val="0"/>
      <w:sz w:val="18"/>
      <w:szCs w:val="18"/>
      <w:lang w:val="zh-CN" w:bidi="zh-CN"/>
    </w:rPr>
  </w:style>
  <w:style w:type="paragraph" w:styleId="6">
    <w:name w:val="header"/>
    <w:basedOn w:val="1"/>
    <w:link w:val="17"/>
    <w:autoRedefine/>
    <w:qFormat/>
    <w:uiPriority w:val="0"/>
    <w:pPr>
      <w:pBdr>
        <w:bottom w:val="single" w:color="auto" w:sz="6" w:space="1"/>
      </w:pBdr>
      <w:tabs>
        <w:tab w:val="center" w:pos="4153"/>
        <w:tab w:val="right" w:pos="8306"/>
      </w:tabs>
      <w:autoSpaceDE w:val="0"/>
      <w:autoSpaceDN w:val="0"/>
      <w:snapToGrid w:val="0"/>
      <w:jc w:val="center"/>
    </w:pPr>
    <w:rPr>
      <w:rFonts w:ascii="仿宋" w:hAnsi="仿宋" w:eastAsia="仿宋" w:cs="仿宋"/>
      <w:kern w:val="0"/>
      <w:sz w:val="18"/>
      <w:szCs w:val="18"/>
      <w:lang w:val="zh-CN" w:bidi="zh-CN"/>
    </w:rPr>
  </w:style>
  <w:style w:type="paragraph" w:styleId="7">
    <w:name w:val="HTML Preformatted"/>
    <w:basedOn w:val="1"/>
    <w:autoRedefine/>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
    <w:name w:val="Normal (Web)"/>
    <w:basedOn w:val="1"/>
    <w:autoRedefine/>
    <w:qFormat/>
    <w:uiPriority w:val="0"/>
    <w:pPr>
      <w:autoSpaceDE w:val="0"/>
      <w:autoSpaceDN w:val="0"/>
      <w:spacing w:beforeAutospacing="1" w:afterAutospacing="1"/>
      <w:jc w:val="left"/>
    </w:pPr>
    <w:rPr>
      <w:rFonts w:ascii="仿宋" w:hAnsi="仿宋" w:eastAsia="仿宋" w:cs="Times New Roman"/>
      <w:kern w:val="0"/>
      <w:sz w:val="24"/>
    </w:rPr>
  </w:style>
  <w:style w:type="paragraph" w:styleId="9">
    <w:name w:val="annotation subject"/>
    <w:basedOn w:val="2"/>
    <w:next w:val="2"/>
    <w:link w:val="23"/>
    <w:autoRedefine/>
    <w:semiHidden/>
    <w:unhideWhenUsed/>
    <w:qFormat/>
    <w:uiPriority w:val="99"/>
    <w:rPr>
      <w:b/>
      <w:bCs/>
    </w:rPr>
  </w:style>
  <w:style w:type="table" w:styleId="11">
    <w:name w:val="Table Grid"/>
    <w:basedOn w:val="10"/>
    <w:autoRedefine/>
    <w:qFormat/>
    <w:uiPriority w:val="59"/>
    <w:rPr>
      <w:rFonts w:ascii="Calibri" w:hAnsi="Calibri"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autoRedefine/>
    <w:qFormat/>
    <w:uiPriority w:val="22"/>
    <w:rPr>
      <w:b/>
      <w:bCs/>
    </w:rPr>
  </w:style>
  <w:style w:type="character" w:styleId="14">
    <w:name w:val="annotation reference"/>
    <w:basedOn w:val="12"/>
    <w:autoRedefine/>
    <w:semiHidden/>
    <w:unhideWhenUsed/>
    <w:qFormat/>
    <w:uiPriority w:val="99"/>
    <w:rPr>
      <w:sz w:val="21"/>
      <w:szCs w:val="21"/>
    </w:rPr>
  </w:style>
  <w:style w:type="character" w:customStyle="1" w:styleId="15">
    <w:name w:val="正文文本 字符"/>
    <w:basedOn w:val="12"/>
    <w:link w:val="3"/>
    <w:autoRedefine/>
    <w:qFormat/>
    <w:uiPriority w:val="1"/>
    <w:rPr>
      <w:rFonts w:ascii="华文中宋" w:hAnsi="华文中宋" w:eastAsia="华文中宋" w:cs="华文中宋"/>
      <w:b/>
      <w:bCs/>
      <w:kern w:val="0"/>
      <w:sz w:val="36"/>
      <w:szCs w:val="36"/>
      <w:lang w:val="zh-CN" w:bidi="zh-CN"/>
    </w:rPr>
  </w:style>
  <w:style w:type="character" w:customStyle="1" w:styleId="16">
    <w:name w:val="页脚 字符"/>
    <w:basedOn w:val="12"/>
    <w:link w:val="5"/>
    <w:autoRedefine/>
    <w:qFormat/>
    <w:uiPriority w:val="0"/>
    <w:rPr>
      <w:rFonts w:ascii="仿宋" w:hAnsi="仿宋" w:eastAsia="仿宋" w:cs="仿宋"/>
      <w:kern w:val="0"/>
      <w:sz w:val="18"/>
      <w:szCs w:val="18"/>
      <w:lang w:val="zh-CN" w:bidi="zh-CN"/>
    </w:rPr>
  </w:style>
  <w:style w:type="character" w:customStyle="1" w:styleId="17">
    <w:name w:val="页眉 字符"/>
    <w:basedOn w:val="12"/>
    <w:link w:val="6"/>
    <w:autoRedefine/>
    <w:qFormat/>
    <w:uiPriority w:val="0"/>
    <w:rPr>
      <w:rFonts w:ascii="仿宋" w:hAnsi="仿宋" w:eastAsia="仿宋" w:cs="仿宋"/>
      <w:kern w:val="0"/>
      <w:sz w:val="18"/>
      <w:szCs w:val="18"/>
      <w:lang w:val="zh-CN" w:bidi="zh-CN"/>
    </w:rPr>
  </w:style>
  <w:style w:type="table" w:customStyle="1" w:styleId="18">
    <w:name w:val="Table Normal"/>
    <w:autoRedefine/>
    <w:semiHidden/>
    <w:unhideWhenUsed/>
    <w:qFormat/>
    <w:uiPriority w:val="2"/>
    <w:tblPr>
      <w:tblCellMar>
        <w:top w:w="0" w:type="dxa"/>
        <w:left w:w="0" w:type="dxa"/>
        <w:bottom w:w="0" w:type="dxa"/>
        <w:right w:w="0" w:type="dxa"/>
      </w:tblCellMar>
    </w:tblPr>
  </w:style>
  <w:style w:type="paragraph" w:styleId="19">
    <w:name w:val="List Paragraph"/>
    <w:basedOn w:val="1"/>
    <w:autoRedefine/>
    <w:qFormat/>
    <w:uiPriority w:val="1"/>
    <w:pPr>
      <w:autoSpaceDE w:val="0"/>
      <w:autoSpaceDN w:val="0"/>
      <w:jc w:val="left"/>
    </w:pPr>
    <w:rPr>
      <w:rFonts w:ascii="仿宋" w:hAnsi="仿宋" w:eastAsia="仿宋" w:cs="仿宋"/>
      <w:kern w:val="0"/>
      <w:sz w:val="22"/>
      <w:lang w:val="zh-CN" w:bidi="zh-CN"/>
    </w:rPr>
  </w:style>
  <w:style w:type="paragraph" w:customStyle="1" w:styleId="20">
    <w:name w:val="Table Paragraph"/>
    <w:basedOn w:val="1"/>
    <w:autoRedefine/>
    <w:qFormat/>
    <w:uiPriority w:val="1"/>
    <w:pPr>
      <w:autoSpaceDE w:val="0"/>
      <w:autoSpaceDN w:val="0"/>
      <w:jc w:val="left"/>
    </w:pPr>
    <w:rPr>
      <w:rFonts w:ascii="仿宋" w:hAnsi="仿宋" w:eastAsia="仿宋" w:cs="仿宋"/>
      <w:kern w:val="0"/>
      <w:sz w:val="22"/>
      <w:lang w:val="zh-CN" w:bidi="zh-CN"/>
    </w:rPr>
  </w:style>
  <w:style w:type="table" w:customStyle="1" w:styleId="21">
    <w:name w:val="Table Normal1"/>
    <w:autoRedefine/>
    <w:semiHidden/>
    <w:unhideWhenUsed/>
    <w:qFormat/>
    <w:uiPriority w:val="2"/>
    <w:tblPr>
      <w:tblCellMar>
        <w:top w:w="0" w:type="dxa"/>
        <w:left w:w="0" w:type="dxa"/>
        <w:bottom w:w="0" w:type="dxa"/>
        <w:right w:w="0" w:type="dxa"/>
      </w:tblCellMar>
    </w:tblPr>
  </w:style>
  <w:style w:type="character" w:customStyle="1" w:styleId="22">
    <w:name w:val="批注文字 字符"/>
    <w:basedOn w:val="12"/>
    <w:link w:val="2"/>
    <w:autoRedefine/>
    <w:semiHidden/>
    <w:qFormat/>
    <w:uiPriority w:val="99"/>
  </w:style>
  <w:style w:type="character" w:customStyle="1" w:styleId="23">
    <w:name w:val="批注主题 字符"/>
    <w:basedOn w:val="22"/>
    <w:link w:val="9"/>
    <w:autoRedefine/>
    <w:semiHidden/>
    <w:qFormat/>
    <w:uiPriority w:val="99"/>
    <w:rPr>
      <w:b/>
      <w:bCs/>
    </w:rPr>
  </w:style>
  <w:style w:type="character" w:customStyle="1" w:styleId="24">
    <w:name w:val="批注框文本 字符"/>
    <w:basedOn w:val="12"/>
    <w:link w:val="4"/>
    <w:autoRedefine/>
    <w:semiHidden/>
    <w:qFormat/>
    <w:uiPriority w:val="99"/>
    <w:rPr>
      <w:sz w:val="18"/>
      <w:szCs w:val="18"/>
    </w:rPr>
  </w:style>
  <w:style w:type="paragraph" w:customStyle="1" w:styleId="25">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6">
    <w:name w:val="Revision"/>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7">
    <w:name w:val="标题1"/>
    <w:basedOn w:val="1"/>
    <w:next w:val="1"/>
    <w:autoRedefine/>
    <w:qFormat/>
    <w:uiPriority w:val="0"/>
    <w:pPr>
      <w:tabs>
        <w:tab w:val="left" w:pos="9193"/>
        <w:tab w:val="left" w:pos="9827"/>
      </w:tabs>
      <w:spacing w:line="700" w:lineRule="atLeast"/>
      <w:ind w:firstLine="0"/>
      <w:jc w:val="center"/>
    </w:pPr>
    <w:rPr>
      <w:rFonts w:eastAsia="方正小标宋_GBK"/>
      <w:sz w:val="44"/>
    </w:rPr>
  </w:style>
  <w:style w:type="character" w:customStyle="1" w:styleId="28">
    <w:name w:val="15"/>
    <w:basedOn w:val="12"/>
    <w:autoRedefine/>
    <w:qFormat/>
    <w:uiPriority w:val="0"/>
    <w:rPr>
      <w:rFonts w:hint="default" w:ascii="Times New Roman" w:hAnsi="Times New Roman" w:cs="Times New Roman"/>
    </w:rPr>
  </w:style>
  <w:style w:type="character" w:customStyle="1" w:styleId="29">
    <w:name w:val="10"/>
    <w:basedOn w:val="12"/>
    <w:autoRedefine/>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3</Pages>
  <Words>3764</Words>
  <Characters>3811</Characters>
  <Lines>1</Lines>
  <Paragraphs>1</Paragraphs>
  <TotalTime>15</TotalTime>
  <ScaleCrop>false</ScaleCrop>
  <LinksUpToDate>false</LinksUpToDate>
  <CharactersWithSpaces>3856</CharactersWithSpaces>
  <Application>WPS Office_12.8.2.1115_F1E327BC-269C-435d-A152-05C5408002CA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2022-07-16T06:51:00Z</dcterms:created>
  <dc:creator>xining ding</dc:creator>
  <cp:lastModifiedBy>zsy</cp:lastModifiedBy>
  <cp:lastPrinted>2025-06-04T22:17:00Z</cp:lastPrinted>
  <dcterms:modified xsi:type="dcterms:W3CDTF">2025-06-06T10:35:43Z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2052-12.8.2.1115</vt:lpwstr>
  </property>
  <property fmtid="{D5CDD505-2E9C-101B-9397-08002B2CF9AE}" pid="3" name="ICV">
    <vt:lpwstr>BFFE313D67A75FD1FF534268697FEE22_43</vt:lpwstr>
  </property>
</Properties>
</file>