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pacing w:line="420" w:lineRule="atLeast"/>
        <w:ind w:right="465"/>
        <w:jc w:val="left"/>
        <w:rPr>
          <w:rFonts w:hint="default" w:ascii="Times New Roman" w:hAnsi="Times New Roman" w:eastAsia="黑体" w:cs="Times New Roman"/>
          <w:color w:val="0D0D0D"/>
          <w:kern w:val="0"/>
          <w:sz w:val="28"/>
          <w:szCs w:val="32"/>
          <w:lang w:val="en-US" w:eastAsia="zh-CN"/>
        </w:rPr>
      </w:pPr>
    </w:p>
    <w:p>
      <w:pPr>
        <w:spacing w:line="580" w:lineRule="exact"/>
        <w:jc w:val="center"/>
        <w:rPr>
          <w:rFonts w:ascii="Times New Roman" w:hAnsi="Times New Roman" w:eastAsia="方正小标宋_GBK" w:cs="Times New Roman"/>
          <w:color w:val="000000"/>
          <w:sz w:val="44"/>
          <w:szCs w:val="44"/>
        </w:rPr>
      </w:pPr>
    </w:p>
    <w:p>
      <w:pPr>
        <w:spacing w:line="580" w:lineRule="exact"/>
        <w:jc w:val="center"/>
        <w:rPr>
          <w:rFonts w:ascii="Times New Roman" w:hAnsi="Times New Roman" w:eastAsia="方正小标宋_GBK" w:cs="Times New Roman"/>
          <w:color w:val="000000"/>
          <w:sz w:val="44"/>
          <w:szCs w:val="44"/>
        </w:rPr>
      </w:pPr>
      <w:r>
        <w:rPr>
          <w:rFonts w:ascii="Times New Roman" w:hAnsi="Times New Roman" w:eastAsia="方正小标宋_GBK" w:cs="Times New Roman"/>
          <w:color w:val="000000"/>
          <w:sz w:val="44"/>
          <w:szCs w:val="44"/>
        </w:rPr>
        <w:t>省生态环境厅 省自然资源厅</w:t>
      </w:r>
    </w:p>
    <w:p>
      <w:pPr>
        <w:spacing w:line="580" w:lineRule="exact"/>
        <w:jc w:val="center"/>
        <w:rPr>
          <w:rFonts w:ascii="Times New Roman" w:hAnsi="Times New Roman" w:eastAsia="方正小标宋_GBK" w:cs="Times New Roman"/>
          <w:sz w:val="44"/>
          <w:szCs w:val="44"/>
        </w:rPr>
      </w:pPr>
      <w:r>
        <w:rPr>
          <w:rFonts w:ascii="Times New Roman" w:hAnsi="Times New Roman" w:eastAsia="方正小标宋_GBK" w:cs="Times New Roman"/>
          <w:sz w:val="44"/>
          <w:szCs w:val="44"/>
        </w:rPr>
        <w:t>关于发布江苏省建设用地土壤污染风险</w:t>
      </w:r>
    </w:p>
    <w:p>
      <w:pPr>
        <w:spacing w:line="580" w:lineRule="exact"/>
        <w:jc w:val="center"/>
        <w:rPr>
          <w:rFonts w:ascii="Times New Roman" w:hAnsi="Times New Roman" w:eastAsia="方正小标宋_GBK" w:cs="Times New Roman"/>
          <w:sz w:val="44"/>
          <w:szCs w:val="44"/>
        </w:rPr>
      </w:pPr>
      <w:r>
        <w:rPr>
          <w:rFonts w:ascii="Times New Roman" w:hAnsi="Times New Roman" w:eastAsia="方正小标宋_GBK" w:cs="Times New Roman"/>
          <w:sz w:val="44"/>
          <w:szCs w:val="44"/>
        </w:rPr>
        <w:t>管控和修复名录（第六批）的通告</w:t>
      </w:r>
    </w:p>
    <w:p>
      <w:pPr>
        <w:widowControl/>
        <w:spacing w:line="580" w:lineRule="exact"/>
        <w:ind w:firstLine="630"/>
        <w:jc w:val="left"/>
        <w:rPr>
          <w:rFonts w:ascii="Times New Roman" w:hAnsi="Times New Roman" w:eastAsia="方正仿宋_GBK" w:cs="Times New Roman"/>
          <w:color w:val="000000"/>
          <w:kern w:val="0"/>
          <w:sz w:val="32"/>
          <w:szCs w:val="32"/>
        </w:rPr>
      </w:pPr>
    </w:p>
    <w:p>
      <w:pPr>
        <w:widowControl/>
        <w:spacing w:line="580" w:lineRule="exact"/>
        <w:ind w:firstLine="630"/>
        <w:rPr>
          <w:rFonts w:ascii="Times New Roman" w:hAnsi="Times New Roman" w:eastAsia="微软雅黑" w:cs="Times New Roman"/>
          <w:color w:val="4A4949"/>
          <w:kern w:val="0"/>
          <w:sz w:val="24"/>
          <w:szCs w:val="24"/>
        </w:rPr>
      </w:pPr>
      <w:r>
        <w:rPr>
          <w:rFonts w:ascii="Times New Roman" w:hAnsi="Times New Roman" w:eastAsia="方正仿宋_GBK" w:cs="Times New Roman"/>
          <w:color w:val="auto"/>
          <w:kern w:val="0"/>
          <w:sz w:val="32"/>
          <w:szCs w:val="32"/>
        </w:rPr>
        <w:t>根据《中华人民共和国土壤污染防治法》《建设用地土壤污染风险管控和修复名录及修复施工相关信息公开工作指南》（生态环境部公告2021年第71号）关于建设用地土壤污染风险管控和修复名录信息公开要求，</w:t>
      </w:r>
      <w:r>
        <w:rPr>
          <w:rFonts w:ascii="Times New Roman" w:hAnsi="Times New Roman" w:eastAsia="方正仿宋_GBK" w:cs="Times New Roman"/>
          <w:color w:val="000000"/>
          <w:kern w:val="0"/>
          <w:sz w:val="32"/>
          <w:szCs w:val="32"/>
        </w:rPr>
        <w:t>结合近期开展的建设用地土壤污染风险评估、风险管控和修复效果评估及评审情况，江苏省生态环境厅会同江苏省自然资源厅形成了《江苏省建设用地土壤污染风险管控和修复名录（第六批）》（以下简称名录），现予以公布。</w:t>
      </w:r>
    </w:p>
    <w:p>
      <w:pPr>
        <w:spacing w:line="560" w:lineRule="exact"/>
        <w:ind w:firstLine="640" w:firstLineChars="200"/>
        <w:rPr>
          <w:rFonts w:ascii="Times New Roman" w:hAnsi="Times New Roman" w:eastAsia="方正黑体_GBK" w:cs="Times New Roman"/>
          <w:color w:val="000000"/>
          <w:sz w:val="32"/>
          <w:szCs w:val="32"/>
        </w:rPr>
      </w:pPr>
      <w:r>
        <w:rPr>
          <w:rFonts w:ascii="Times New Roman" w:hAnsi="Times New Roman" w:eastAsia="方正黑体_GBK" w:cs="Times New Roman"/>
          <w:color w:val="000000"/>
          <w:sz w:val="32"/>
          <w:szCs w:val="32"/>
        </w:rPr>
        <w:t>一、新增列入名录地块</w:t>
      </w:r>
    </w:p>
    <w:p>
      <w:pPr>
        <w:spacing w:line="560" w:lineRule="exact"/>
        <w:ind w:firstLine="640" w:firstLineChars="200"/>
        <w:rPr>
          <w:rFonts w:ascii="Times New Roman" w:hAnsi="Times New Roman" w:eastAsia="方正仿宋_GBK" w:cs="Times New Roman"/>
          <w:color w:val="000000"/>
          <w:sz w:val="32"/>
          <w:szCs w:val="32"/>
        </w:rPr>
      </w:pPr>
      <w:r>
        <w:rPr>
          <w:rFonts w:ascii="Times New Roman" w:hAnsi="Times New Roman" w:eastAsia="方正仿宋_GBK" w:cs="Times New Roman"/>
          <w:color w:val="000000"/>
          <w:sz w:val="32"/>
          <w:szCs w:val="32"/>
        </w:rPr>
        <w:t>根据建设用地土壤污染风险评估情况，将徐州万和化工有限公司原厂址地块等11个地块新增列入名录管理。</w:t>
      </w:r>
    </w:p>
    <w:p>
      <w:pPr>
        <w:widowControl/>
        <w:spacing w:line="580" w:lineRule="exact"/>
        <w:ind w:firstLine="645"/>
        <w:jc w:val="left"/>
        <w:rPr>
          <w:rFonts w:ascii="Times New Roman" w:hAnsi="Times New Roman" w:eastAsia="微软雅黑" w:cs="Times New Roman"/>
          <w:color w:val="4A4949"/>
          <w:kern w:val="0"/>
          <w:sz w:val="24"/>
          <w:szCs w:val="24"/>
        </w:rPr>
      </w:pPr>
      <w:r>
        <w:rPr>
          <w:rFonts w:ascii="Times New Roman" w:hAnsi="Times New Roman" w:eastAsia="方正黑体_GBK" w:cs="Times New Roman"/>
          <w:color w:val="000000"/>
          <w:kern w:val="0"/>
          <w:sz w:val="32"/>
          <w:szCs w:val="32"/>
        </w:rPr>
        <w:t>二、移出名录地块</w:t>
      </w:r>
    </w:p>
    <w:p>
      <w:pPr>
        <w:spacing w:line="560" w:lineRule="exact"/>
        <w:ind w:firstLine="640" w:firstLineChars="200"/>
        <w:rPr>
          <w:rFonts w:ascii="Times New Roman" w:hAnsi="Times New Roman" w:eastAsia="方正仿宋_GBK" w:cs="Times New Roman"/>
          <w:color w:val="000000"/>
          <w:sz w:val="32"/>
          <w:szCs w:val="32"/>
        </w:rPr>
      </w:pPr>
      <w:r>
        <w:rPr>
          <w:rFonts w:ascii="Times New Roman" w:hAnsi="Times New Roman" w:eastAsia="方正仿宋_GBK" w:cs="Times New Roman"/>
          <w:color w:val="000000"/>
          <w:sz w:val="32"/>
          <w:szCs w:val="32"/>
        </w:rPr>
        <w:t>根据建设用地土壤污染修复效果评估情况，将江阴新南洋纺织科技有限公司原厂址地块等10个地块移出名录。</w:t>
      </w:r>
    </w:p>
    <w:p>
      <w:pPr>
        <w:widowControl/>
        <w:spacing w:line="580" w:lineRule="exact"/>
        <w:ind w:firstLine="645"/>
        <w:jc w:val="left"/>
        <w:rPr>
          <w:rFonts w:ascii="Times New Roman" w:hAnsi="Times New Roman" w:eastAsia="微软雅黑" w:cs="Times New Roman"/>
          <w:color w:val="4A4949"/>
          <w:kern w:val="0"/>
          <w:sz w:val="24"/>
          <w:szCs w:val="24"/>
        </w:rPr>
      </w:pPr>
      <w:r>
        <w:rPr>
          <w:rFonts w:ascii="Times New Roman" w:hAnsi="Times New Roman" w:eastAsia="方正黑体_GBK" w:cs="Times New Roman"/>
          <w:color w:val="000000"/>
          <w:kern w:val="0"/>
          <w:sz w:val="32"/>
          <w:szCs w:val="32"/>
        </w:rPr>
        <w:t>三、有关要求</w:t>
      </w:r>
    </w:p>
    <w:p>
      <w:pPr>
        <w:widowControl/>
        <w:spacing w:line="580" w:lineRule="exact"/>
        <w:ind w:firstLine="645"/>
        <w:jc w:val="left"/>
        <w:rPr>
          <w:rFonts w:ascii="Times New Roman" w:hAnsi="Times New Roman" w:eastAsia="方正仿宋_GBK" w:cs="Times New Roman"/>
          <w:color w:val="000000"/>
          <w:kern w:val="0"/>
          <w:sz w:val="32"/>
          <w:szCs w:val="32"/>
        </w:rPr>
      </w:pPr>
      <w:r>
        <w:rPr>
          <w:rFonts w:ascii="Times New Roman" w:hAnsi="Times New Roman" w:eastAsia="方正仿宋_GBK" w:cs="Times New Roman"/>
          <w:color w:val="000000"/>
          <w:kern w:val="0"/>
          <w:sz w:val="32"/>
          <w:szCs w:val="32"/>
        </w:rPr>
        <w:t>（一）列入名录的地块，不得作为住宅、公共管理与公共服务用地。未达到土壤污染风险评估报告确定的风险管控、修复目标的建设用地地块，禁止开工建设任何与风险管控、修复无关的项目。</w:t>
      </w:r>
    </w:p>
    <w:p>
      <w:pPr>
        <w:widowControl/>
        <w:spacing w:line="580" w:lineRule="exact"/>
        <w:ind w:firstLine="645"/>
        <w:jc w:val="left"/>
        <w:rPr>
          <w:rFonts w:ascii="Times New Roman" w:hAnsi="Times New Roman" w:eastAsia="方正仿宋_GBK" w:cs="Times New Roman"/>
          <w:color w:val="000000"/>
          <w:kern w:val="0"/>
          <w:sz w:val="32"/>
          <w:szCs w:val="32"/>
        </w:rPr>
      </w:pPr>
      <w:r>
        <w:rPr>
          <w:rFonts w:ascii="Times New Roman" w:hAnsi="Times New Roman" w:eastAsia="方正仿宋_GBK" w:cs="Times New Roman"/>
          <w:color w:val="000000"/>
          <w:kern w:val="0"/>
          <w:sz w:val="32"/>
          <w:szCs w:val="32"/>
        </w:rPr>
        <w:t>（二）对列入名录的地块，土壤污染责任人应当按照国家有关规定以及土壤污染风险评估报告的要求，采取相应的风险管控措施，并定期向地方人民政府生态环境主管部门报告。</w:t>
      </w:r>
    </w:p>
    <w:p>
      <w:pPr>
        <w:widowControl/>
        <w:spacing w:line="580" w:lineRule="exact"/>
        <w:ind w:firstLine="645"/>
        <w:jc w:val="left"/>
        <w:rPr>
          <w:rFonts w:ascii="Times New Roman" w:hAnsi="Times New Roman" w:eastAsia="方正仿宋_GBK" w:cs="Times New Roman"/>
          <w:color w:val="000000"/>
          <w:kern w:val="0"/>
          <w:sz w:val="32"/>
          <w:szCs w:val="32"/>
        </w:rPr>
      </w:pPr>
      <w:r>
        <w:rPr>
          <w:rFonts w:ascii="Times New Roman" w:hAnsi="Times New Roman" w:eastAsia="方正仿宋_GBK" w:cs="Times New Roman"/>
          <w:color w:val="000000"/>
          <w:kern w:val="0"/>
          <w:sz w:val="32"/>
          <w:szCs w:val="32"/>
        </w:rPr>
        <w:t>（三）移出名录后需要实施后期管理的地块，土壤污染责任人、土地使用权人应当按照要求实施后期管理。</w:t>
      </w:r>
    </w:p>
    <w:p>
      <w:pPr>
        <w:widowControl/>
        <w:spacing w:line="580" w:lineRule="exact"/>
        <w:ind w:firstLine="645"/>
        <w:jc w:val="left"/>
        <w:rPr>
          <w:rFonts w:ascii="Times New Roman" w:hAnsi="Times New Roman" w:eastAsia="方正仿宋_GBK" w:cs="Times New Roman"/>
          <w:color w:val="000000"/>
          <w:kern w:val="0"/>
          <w:sz w:val="32"/>
          <w:szCs w:val="32"/>
        </w:rPr>
      </w:pPr>
    </w:p>
    <w:p>
      <w:pPr>
        <w:widowControl/>
        <w:spacing w:line="580" w:lineRule="exact"/>
        <w:ind w:firstLine="640" w:firstLineChars="200"/>
        <w:jc w:val="left"/>
        <w:rPr>
          <w:rFonts w:ascii="Times New Roman" w:hAnsi="Times New Roman" w:eastAsia="方正仿宋_GBK" w:cs="Times New Roman"/>
          <w:color w:val="000000"/>
          <w:kern w:val="0"/>
          <w:sz w:val="32"/>
          <w:szCs w:val="32"/>
        </w:rPr>
      </w:pPr>
    </w:p>
    <w:p>
      <w:pPr>
        <w:widowControl/>
        <w:spacing w:line="580" w:lineRule="exact"/>
        <w:ind w:left="1598" w:leftChars="304" w:hanging="960" w:hangingChars="300"/>
        <w:jc w:val="left"/>
        <w:rPr>
          <w:rFonts w:ascii="Times New Roman" w:hAnsi="Times New Roman" w:eastAsia="方正仿宋_GBK" w:cs="Times New Roman"/>
          <w:color w:val="000000"/>
          <w:kern w:val="0"/>
          <w:sz w:val="32"/>
          <w:szCs w:val="32"/>
        </w:rPr>
      </w:pPr>
      <w:r>
        <w:rPr>
          <w:rFonts w:ascii="Times New Roman" w:hAnsi="Times New Roman" w:eastAsia="方正仿宋_GBK" w:cs="Times New Roman"/>
          <w:color w:val="000000"/>
          <w:kern w:val="0"/>
          <w:sz w:val="32"/>
          <w:szCs w:val="32"/>
        </w:rPr>
        <w:t>附件：1.江苏省建设用地土壤污染风险管控和修复名录（第六批）</w:t>
      </w:r>
    </w:p>
    <w:p>
      <w:pPr>
        <w:widowControl/>
        <w:spacing w:line="580" w:lineRule="exact"/>
        <w:ind w:left="1598" w:leftChars="304" w:hanging="960" w:hangingChars="300"/>
        <w:jc w:val="left"/>
        <w:rPr>
          <w:rFonts w:ascii="Times New Roman" w:hAnsi="Times New Roman" w:eastAsia="方正仿宋_GBK" w:cs="Times New Roman"/>
          <w:color w:val="000000"/>
          <w:kern w:val="0"/>
          <w:sz w:val="32"/>
          <w:szCs w:val="32"/>
        </w:rPr>
      </w:pPr>
      <w:r>
        <w:rPr>
          <w:rFonts w:ascii="Times New Roman" w:hAnsi="Times New Roman" w:eastAsia="方正仿宋_GBK" w:cs="Times New Roman"/>
          <w:color w:val="000000"/>
          <w:kern w:val="0"/>
          <w:sz w:val="32"/>
          <w:szCs w:val="32"/>
        </w:rPr>
        <w:t xml:space="preserve">      2.江苏省建设用地土壤污染风险管控和修复名录移出清单（第六批）</w:t>
      </w:r>
    </w:p>
    <w:p>
      <w:pPr>
        <w:spacing w:line="580" w:lineRule="exact"/>
        <w:ind w:firstLine="636"/>
        <w:rPr>
          <w:rFonts w:ascii="Times New Roman" w:hAnsi="Times New Roman" w:eastAsia="方正仿宋_GBK" w:cs="Times New Roman"/>
          <w:sz w:val="32"/>
          <w:szCs w:val="32"/>
        </w:rPr>
      </w:pPr>
    </w:p>
    <w:p>
      <w:pPr>
        <w:spacing w:line="580" w:lineRule="exact"/>
        <w:ind w:firstLine="1280" w:firstLineChars="400"/>
        <w:rPr>
          <w:rFonts w:ascii="Times New Roman" w:hAnsi="Times New Roman" w:eastAsia="方正仿宋_GBK" w:cs="Times New Roman"/>
          <w:color w:val="000000"/>
          <w:sz w:val="32"/>
          <w:szCs w:val="32"/>
        </w:rPr>
      </w:pPr>
    </w:p>
    <w:p>
      <w:pPr>
        <w:spacing w:line="580" w:lineRule="exact"/>
        <w:ind w:firstLine="1280" w:firstLineChars="400"/>
        <w:rPr>
          <w:rFonts w:ascii="Times New Roman" w:hAnsi="Times New Roman" w:eastAsia="方正仿宋_GBK" w:cs="Times New Roman"/>
          <w:color w:val="000000"/>
          <w:sz w:val="32"/>
          <w:szCs w:val="32"/>
        </w:rPr>
      </w:pPr>
      <w:r>
        <w:rPr>
          <w:rFonts w:ascii="Times New Roman" w:hAnsi="Times New Roman" w:eastAsia="方正仿宋_GBK" w:cs="Times New Roman"/>
          <w:color w:val="000000"/>
          <w:sz w:val="32"/>
          <w:szCs w:val="32"/>
        </w:rPr>
        <w:t>江苏省生态环境厅          江苏省自然资源厅</w:t>
      </w:r>
    </w:p>
    <w:p>
      <w:pPr>
        <w:spacing w:line="580" w:lineRule="exact"/>
        <w:rPr>
          <w:rFonts w:ascii="Times New Roman" w:hAnsi="Times New Roman" w:eastAsia="方正仿宋_GBK" w:cs="Times New Roman"/>
          <w:color w:val="000000"/>
          <w:sz w:val="32"/>
          <w:szCs w:val="32"/>
        </w:rPr>
        <w:sectPr>
          <w:footerReference r:id="rId3" w:type="default"/>
          <w:pgSz w:w="11906" w:h="16838"/>
          <w:pgMar w:top="1814" w:right="1531" w:bottom="1985" w:left="1531" w:header="851" w:footer="992" w:gutter="0"/>
          <w:pgNumType w:start="1"/>
          <w:cols w:space="720" w:num="1"/>
          <w:docGrid w:type="lines" w:linePitch="312" w:charSpace="0"/>
        </w:sectPr>
      </w:pPr>
      <w:r>
        <w:rPr>
          <w:rFonts w:ascii="Times New Roman" w:hAnsi="Times New Roman" w:eastAsia="方正仿宋_GBK" w:cs="Times New Roman"/>
          <w:color w:val="000000"/>
          <w:sz w:val="32"/>
          <w:szCs w:val="32"/>
        </w:rPr>
        <w:t xml:space="preserve">                                   2022年2月 日</w:t>
      </w:r>
    </w:p>
    <w:p>
      <w:pPr>
        <w:widowControl/>
        <w:spacing w:line="420" w:lineRule="atLeast"/>
        <w:ind w:right="465"/>
        <w:rPr>
          <w:rFonts w:ascii="Times New Roman" w:hAnsi="Times New Roman" w:eastAsia="黑体" w:cs="Times New Roman"/>
          <w:color w:val="000000"/>
          <w:kern w:val="0"/>
          <w:sz w:val="32"/>
          <w:szCs w:val="32"/>
        </w:rPr>
      </w:pPr>
      <w:r>
        <w:rPr>
          <w:rFonts w:ascii="Times New Roman" w:hAnsi="Times New Roman" w:eastAsia="黑体" w:cs="Times New Roman"/>
          <w:color w:val="000000"/>
          <w:kern w:val="0"/>
          <w:sz w:val="32"/>
          <w:szCs w:val="32"/>
        </w:rPr>
        <w:t>附件1</w:t>
      </w:r>
    </w:p>
    <w:p>
      <w:pPr>
        <w:widowControl/>
        <w:spacing w:line="420" w:lineRule="atLeast"/>
        <w:jc w:val="center"/>
        <w:rPr>
          <w:rFonts w:ascii="Times New Roman" w:hAnsi="Times New Roman" w:eastAsia="方正小标宋_GBK" w:cs="Times New Roman"/>
          <w:color w:val="4A4949"/>
          <w:kern w:val="0"/>
          <w:sz w:val="44"/>
          <w:szCs w:val="44"/>
        </w:rPr>
      </w:pPr>
      <w:r>
        <w:rPr>
          <w:rFonts w:ascii="Times New Roman" w:hAnsi="Times New Roman" w:eastAsia="方正小标宋_GBK" w:cs="Times New Roman"/>
          <w:color w:val="000000"/>
          <w:kern w:val="0"/>
          <w:sz w:val="36"/>
          <w:szCs w:val="36"/>
        </w:rPr>
        <w:t>江苏省建设用地土壤污染风险管控和修复名录（第六批）</w:t>
      </w:r>
    </w:p>
    <w:tbl>
      <w:tblPr>
        <w:tblStyle w:val="6"/>
        <w:tblW w:w="4875" w:type="pct"/>
        <w:jc w:val="center"/>
        <w:tblBorders>
          <w:top w:val="single" w:color="auto" w:sz="4" w:space="0"/>
          <w:left w:val="none" w:color="auto" w:sz="4" w:space="0"/>
          <w:bottom w:val="none" w:color="auto" w:sz="4" w:space="0"/>
          <w:right w:val="none" w:color="auto" w:sz="4" w:space="0"/>
          <w:insideH w:val="none" w:color="auto" w:sz="4" w:space="0"/>
          <w:insideV w:val="none" w:color="auto" w:sz="4" w:space="0"/>
        </w:tblBorders>
        <w:tblLayout w:type="autofit"/>
        <w:tblCellMar>
          <w:top w:w="0" w:type="dxa"/>
          <w:left w:w="108" w:type="dxa"/>
          <w:bottom w:w="0" w:type="dxa"/>
          <w:right w:w="108" w:type="dxa"/>
        </w:tblCellMar>
      </w:tblPr>
      <w:tblGrid>
        <w:gridCol w:w="758"/>
        <w:gridCol w:w="1400"/>
        <w:gridCol w:w="960"/>
        <w:gridCol w:w="1375"/>
        <w:gridCol w:w="2081"/>
        <w:gridCol w:w="1253"/>
        <w:gridCol w:w="1345"/>
        <w:gridCol w:w="1715"/>
        <w:gridCol w:w="1585"/>
        <w:gridCol w:w="1348"/>
      </w:tblGrid>
      <w:tr>
        <w:tblPrEx>
          <w:tblBorders>
            <w:top w:val="single" w:color="auto" w:sz="4" w:space="0"/>
            <w:left w:val="none" w:color="auto" w:sz="4" w:space="0"/>
            <w:bottom w:val="none" w:color="auto" w:sz="4" w:space="0"/>
            <w:right w:val="none" w:color="auto" w:sz="4" w:space="0"/>
            <w:insideH w:val="none" w:color="auto" w:sz="4" w:space="0"/>
            <w:insideV w:val="none" w:color="auto" w:sz="4" w:space="0"/>
          </w:tblBorders>
          <w:tblCellMar>
            <w:top w:w="0" w:type="dxa"/>
            <w:left w:w="108" w:type="dxa"/>
            <w:bottom w:w="0" w:type="dxa"/>
            <w:right w:w="108" w:type="dxa"/>
          </w:tblCellMar>
        </w:tblPrEx>
        <w:trPr>
          <w:cantSplit/>
          <w:trHeight w:val="780" w:hRule="atLeast"/>
          <w:tblHeader/>
          <w:jc w:val="center"/>
        </w:trPr>
        <w:tc>
          <w:tcPr>
            <w:tcW w:w="274" w:type="pct"/>
            <w:tcBorders>
              <w:left w:val="single" w:color="auto" w:sz="4" w:space="0"/>
              <w:bottom w:val="single" w:color="auto" w:sz="4" w:space="0"/>
              <w:right w:val="single" w:color="auto" w:sz="4" w:space="0"/>
            </w:tcBorders>
            <w:vAlign w:val="center"/>
          </w:tcPr>
          <w:p>
            <w:pPr>
              <w:widowControl/>
              <w:spacing w:line="240" w:lineRule="exact"/>
              <w:jc w:val="center"/>
              <w:rPr>
                <w:rFonts w:ascii="Times New Roman" w:hAnsi="Times New Roman" w:cs="Times New Roman"/>
                <w:b/>
                <w:bCs/>
                <w:kern w:val="0"/>
                <w:sz w:val="18"/>
                <w:szCs w:val="18"/>
              </w:rPr>
            </w:pPr>
            <w:r>
              <w:rPr>
                <w:rFonts w:ascii="Times New Roman" w:hAnsi="Times New Roman" w:cs="Times New Roman"/>
                <w:b/>
                <w:bCs/>
                <w:kern w:val="0"/>
                <w:sz w:val="18"/>
                <w:szCs w:val="18"/>
              </w:rPr>
              <w:t>序号</w:t>
            </w:r>
          </w:p>
        </w:tc>
        <w:tc>
          <w:tcPr>
            <w:tcW w:w="506" w:type="pct"/>
            <w:tcBorders>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b/>
                <w:bCs/>
                <w:kern w:val="0"/>
                <w:sz w:val="18"/>
                <w:szCs w:val="18"/>
              </w:rPr>
            </w:pPr>
            <w:r>
              <w:rPr>
                <w:rFonts w:ascii="Times New Roman" w:hAnsi="Times New Roman" w:cs="Times New Roman"/>
                <w:b/>
                <w:bCs/>
                <w:kern w:val="0"/>
                <w:sz w:val="18"/>
                <w:szCs w:val="18"/>
              </w:rPr>
              <w:t>地块名称</w:t>
            </w:r>
          </w:p>
        </w:tc>
        <w:tc>
          <w:tcPr>
            <w:tcW w:w="347" w:type="pct"/>
            <w:tcBorders>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b/>
                <w:bCs/>
                <w:kern w:val="0"/>
                <w:sz w:val="18"/>
                <w:szCs w:val="18"/>
              </w:rPr>
            </w:pPr>
            <w:r>
              <w:rPr>
                <w:rFonts w:ascii="Times New Roman" w:hAnsi="Times New Roman" w:cs="Times New Roman"/>
                <w:b/>
                <w:bCs/>
                <w:kern w:val="0"/>
                <w:sz w:val="18"/>
                <w:szCs w:val="18"/>
              </w:rPr>
              <w:t>所在市</w:t>
            </w:r>
          </w:p>
        </w:tc>
        <w:tc>
          <w:tcPr>
            <w:tcW w:w="497" w:type="pct"/>
            <w:tcBorders>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b/>
                <w:bCs/>
                <w:kern w:val="0"/>
                <w:sz w:val="18"/>
                <w:szCs w:val="18"/>
              </w:rPr>
            </w:pPr>
            <w:r>
              <w:rPr>
                <w:rFonts w:ascii="Times New Roman" w:hAnsi="Times New Roman" w:cs="Times New Roman"/>
                <w:b/>
                <w:bCs/>
                <w:kern w:val="0"/>
                <w:sz w:val="18"/>
                <w:szCs w:val="18"/>
              </w:rPr>
              <w:t>详细地址</w:t>
            </w:r>
          </w:p>
        </w:tc>
        <w:tc>
          <w:tcPr>
            <w:tcW w:w="752" w:type="pct"/>
            <w:tcBorders>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b/>
                <w:bCs/>
                <w:kern w:val="0"/>
                <w:sz w:val="18"/>
                <w:szCs w:val="18"/>
              </w:rPr>
            </w:pPr>
            <w:r>
              <w:rPr>
                <w:rFonts w:ascii="Times New Roman" w:hAnsi="Times New Roman" w:cs="Times New Roman"/>
                <w:b/>
                <w:bCs/>
                <w:kern w:val="0"/>
                <w:sz w:val="18"/>
                <w:szCs w:val="18"/>
              </w:rPr>
              <w:t>四至范围</w:t>
            </w:r>
          </w:p>
        </w:tc>
        <w:tc>
          <w:tcPr>
            <w:tcW w:w="453" w:type="pct"/>
            <w:tcBorders>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b/>
                <w:bCs/>
                <w:kern w:val="0"/>
                <w:sz w:val="18"/>
                <w:szCs w:val="18"/>
              </w:rPr>
            </w:pPr>
            <w:r>
              <w:rPr>
                <w:rFonts w:ascii="Times New Roman" w:hAnsi="Times New Roman" w:cs="Times New Roman"/>
                <w:b/>
                <w:bCs/>
                <w:kern w:val="0"/>
                <w:sz w:val="18"/>
                <w:szCs w:val="18"/>
              </w:rPr>
              <w:t>地块面积（m2)</w:t>
            </w:r>
          </w:p>
        </w:tc>
        <w:tc>
          <w:tcPr>
            <w:tcW w:w="486" w:type="pct"/>
            <w:tcBorders>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b/>
                <w:bCs/>
                <w:kern w:val="0"/>
                <w:sz w:val="18"/>
                <w:szCs w:val="18"/>
              </w:rPr>
            </w:pPr>
            <w:r>
              <w:rPr>
                <w:rFonts w:ascii="Times New Roman" w:hAnsi="Times New Roman" w:cs="Times New Roman"/>
                <w:b/>
                <w:bCs/>
                <w:kern w:val="0"/>
                <w:sz w:val="18"/>
                <w:szCs w:val="18"/>
              </w:rPr>
              <w:t>土地使用权人</w:t>
            </w:r>
          </w:p>
        </w:tc>
        <w:tc>
          <w:tcPr>
            <w:tcW w:w="620" w:type="pct"/>
            <w:tcBorders>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b/>
                <w:bCs/>
                <w:color w:val="auto"/>
                <w:kern w:val="0"/>
                <w:sz w:val="18"/>
                <w:szCs w:val="18"/>
              </w:rPr>
            </w:pPr>
            <w:r>
              <w:rPr>
                <w:rFonts w:ascii="Times New Roman" w:hAnsi="Times New Roman" w:cs="Times New Roman"/>
                <w:b/>
                <w:bCs/>
                <w:color w:val="auto"/>
                <w:kern w:val="0"/>
                <w:sz w:val="18"/>
                <w:szCs w:val="18"/>
              </w:rPr>
              <w:t>风险管控或修复目标</w:t>
            </w:r>
          </w:p>
        </w:tc>
        <w:tc>
          <w:tcPr>
            <w:tcW w:w="573" w:type="pct"/>
            <w:tcBorders>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b/>
                <w:bCs/>
                <w:color w:val="auto"/>
                <w:kern w:val="0"/>
                <w:sz w:val="18"/>
                <w:szCs w:val="18"/>
              </w:rPr>
            </w:pPr>
            <w:r>
              <w:rPr>
                <w:rFonts w:hint="eastAsia" w:ascii="Times New Roman" w:hAnsi="Times New Roman" w:cs="Times New Roman"/>
                <w:b/>
                <w:bCs/>
                <w:color w:val="auto"/>
                <w:kern w:val="0"/>
                <w:sz w:val="18"/>
                <w:szCs w:val="18"/>
                <w:lang w:val="en-US" w:eastAsia="zh-CN"/>
              </w:rPr>
              <w:t>风险评估报告</w:t>
            </w:r>
            <w:r>
              <w:rPr>
                <w:rFonts w:ascii="Times New Roman" w:hAnsi="Times New Roman" w:cs="Times New Roman"/>
                <w:b/>
                <w:bCs/>
                <w:color w:val="auto"/>
                <w:kern w:val="0"/>
                <w:sz w:val="18"/>
                <w:szCs w:val="18"/>
              </w:rPr>
              <w:t>编制单位</w:t>
            </w:r>
          </w:p>
        </w:tc>
        <w:tc>
          <w:tcPr>
            <w:tcW w:w="487" w:type="pct"/>
            <w:tcBorders>
              <w:left w:val="single" w:color="auto" w:sz="4" w:space="0"/>
              <w:bottom w:val="single" w:color="auto" w:sz="4" w:space="0"/>
              <w:right w:val="single" w:color="auto" w:sz="4" w:space="0"/>
            </w:tcBorders>
            <w:vAlign w:val="center"/>
          </w:tcPr>
          <w:p>
            <w:pPr>
              <w:widowControl/>
              <w:spacing w:line="240" w:lineRule="exact"/>
              <w:jc w:val="center"/>
              <w:rPr>
                <w:rFonts w:ascii="Times New Roman" w:hAnsi="Times New Roman" w:cs="Times New Roman"/>
                <w:b/>
                <w:bCs/>
                <w:kern w:val="0"/>
                <w:sz w:val="18"/>
                <w:szCs w:val="18"/>
              </w:rPr>
            </w:pPr>
            <w:r>
              <w:rPr>
                <w:rFonts w:ascii="Times New Roman" w:hAnsi="Times New Roman" w:cs="Times New Roman"/>
                <w:b/>
                <w:bCs/>
                <w:kern w:val="0"/>
                <w:sz w:val="18"/>
                <w:szCs w:val="18"/>
              </w:rPr>
              <w:t>纳入日期</w:t>
            </w:r>
          </w:p>
        </w:tc>
      </w:tr>
      <w:tr>
        <w:tblPrEx>
          <w:tblBorders>
            <w:top w:val="single" w:color="auto" w:sz="4" w:space="0"/>
            <w:left w:val="none" w:color="auto" w:sz="4" w:space="0"/>
            <w:bottom w:val="none" w:color="auto" w:sz="4" w:space="0"/>
            <w:right w:val="none" w:color="auto" w:sz="4" w:space="0"/>
            <w:insideH w:val="none" w:color="auto" w:sz="4" w:space="0"/>
            <w:insideV w:val="none" w:color="auto" w:sz="4" w:space="0"/>
          </w:tblBorders>
          <w:tblCellMar>
            <w:top w:w="0" w:type="dxa"/>
            <w:left w:w="108" w:type="dxa"/>
            <w:bottom w:w="0" w:type="dxa"/>
            <w:right w:w="108" w:type="dxa"/>
          </w:tblCellMar>
        </w:tblPrEx>
        <w:trPr>
          <w:cantSplit/>
          <w:trHeight w:val="1484" w:hRule="atLeast"/>
          <w:jc w:val="center"/>
        </w:trPr>
        <w:tc>
          <w:tcPr>
            <w:tcW w:w="274" w:type="pct"/>
            <w:tcBorders>
              <w:top w:val="nil"/>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1</w:t>
            </w:r>
          </w:p>
        </w:tc>
        <w:tc>
          <w:tcPr>
            <w:tcW w:w="506"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徐州万和化工有限公司原厂址</w:t>
            </w:r>
          </w:p>
        </w:tc>
        <w:tc>
          <w:tcPr>
            <w:tcW w:w="347"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徐州</w:t>
            </w:r>
          </w:p>
        </w:tc>
        <w:tc>
          <w:tcPr>
            <w:tcW w:w="497"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color w:val="auto"/>
                <w:kern w:val="0"/>
                <w:sz w:val="18"/>
                <w:szCs w:val="18"/>
              </w:rPr>
            </w:pPr>
            <w:r>
              <w:rPr>
                <w:rFonts w:ascii="Times New Roman" w:hAnsi="Times New Roman" w:cs="Times New Roman"/>
                <w:color w:val="auto"/>
                <w:kern w:val="0"/>
                <w:sz w:val="18"/>
                <w:szCs w:val="18"/>
              </w:rPr>
              <w:t>徐州市鼓楼区复兴北路孟家沟</w:t>
            </w:r>
          </w:p>
        </w:tc>
        <w:tc>
          <w:tcPr>
            <w:tcW w:w="752"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color w:val="auto"/>
                <w:kern w:val="0"/>
                <w:sz w:val="18"/>
                <w:szCs w:val="18"/>
              </w:rPr>
            </w:pPr>
            <w:r>
              <w:rPr>
                <w:rFonts w:ascii="Times New Roman" w:hAnsi="Times New Roman" w:cs="Times New Roman"/>
                <w:color w:val="auto"/>
                <w:kern w:val="0"/>
                <w:sz w:val="18"/>
                <w:szCs w:val="18"/>
              </w:rPr>
              <w:t>北至徐州市鼓楼区三环北路南侧（部分厂界与北方氯碱地块接壤），东至煤港路，西至徐州远强化工有限公司原厂址东厂界，南至琵琶路</w:t>
            </w:r>
          </w:p>
        </w:tc>
        <w:tc>
          <w:tcPr>
            <w:tcW w:w="453"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hint="default" w:ascii="Times New Roman" w:hAnsi="Times New Roman" w:eastAsia="宋体" w:cs="Times New Roman"/>
                <w:color w:val="auto"/>
                <w:kern w:val="0"/>
                <w:sz w:val="18"/>
                <w:szCs w:val="18"/>
                <w:lang w:val="en-US" w:eastAsia="zh-CN"/>
              </w:rPr>
            </w:pPr>
            <w:r>
              <w:rPr>
                <w:rFonts w:ascii="Times New Roman" w:hAnsi="Times New Roman" w:cs="Times New Roman"/>
                <w:color w:val="auto"/>
                <w:kern w:val="0"/>
                <w:sz w:val="18"/>
                <w:szCs w:val="18"/>
              </w:rPr>
              <w:t>8869</w:t>
            </w:r>
            <w:r>
              <w:rPr>
                <w:rFonts w:hint="eastAsia" w:ascii="Times New Roman" w:hAnsi="Times New Roman" w:cs="Times New Roman"/>
                <w:color w:val="auto"/>
                <w:kern w:val="0"/>
                <w:sz w:val="18"/>
                <w:szCs w:val="18"/>
                <w:lang w:val="en-US" w:eastAsia="zh-CN"/>
              </w:rPr>
              <w:t>9.1</w:t>
            </w:r>
          </w:p>
        </w:tc>
        <w:tc>
          <w:tcPr>
            <w:tcW w:w="486"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color w:val="auto"/>
                <w:kern w:val="0"/>
                <w:sz w:val="18"/>
                <w:szCs w:val="18"/>
              </w:rPr>
            </w:pPr>
            <w:r>
              <w:rPr>
                <w:rFonts w:ascii="Times New Roman" w:hAnsi="Times New Roman" w:cs="Times New Roman"/>
                <w:color w:val="auto"/>
                <w:kern w:val="0"/>
                <w:sz w:val="18"/>
                <w:szCs w:val="18"/>
              </w:rPr>
              <w:t>徐州市土地储备中心</w:t>
            </w:r>
          </w:p>
        </w:tc>
        <w:tc>
          <w:tcPr>
            <w:tcW w:w="620"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color w:val="auto"/>
                <w:kern w:val="0"/>
                <w:sz w:val="18"/>
                <w:szCs w:val="18"/>
              </w:rPr>
            </w:pPr>
            <w:r>
              <w:rPr>
                <w:rFonts w:ascii="Times New Roman" w:hAnsi="Times New Roman" w:cs="Times New Roman"/>
                <w:color w:val="auto"/>
                <w:kern w:val="0"/>
                <w:sz w:val="18"/>
                <w:szCs w:val="18"/>
              </w:rPr>
              <w:t>满足居住用地、公共管理与公共服务用地、商业服务业用地等土壤环境质量要求</w:t>
            </w:r>
          </w:p>
        </w:tc>
        <w:tc>
          <w:tcPr>
            <w:tcW w:w="573"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hint="default" w:ascii="Times New Roman" w:hAnsi="Times New Roman" w:eastAsia="宋体" w:cs="Times New Roman"/>
                <w:kern w:val="0"/>
                <w:sz w:val="18"/>
                <w:szCs w:val="18"/>
                <w:lang w:val="en-US" w:eastAsia="zh-CN"/>
              </w:rPr>
            </w:pPr>
            <w:r>
              <w:rPr>
                <w:rFonts w:hint="eastAsia" w:ascii="Times New Roman" w:hAnsi="Times New Roman" w:cs="Times New Roman"/>
                <w:kern w:val="0"/>
                <w:sz w:val="18"/>
                <w:szCs w:val="18"/>
                <w:lang w:val="en-US" w:eastAsia="zh-CN"/>
              </w:rPr>
              <w:t>江苏方正环保集团有限公司</w:t>
            </w:r>
          </w:p>
        </w:tc>
        <w:tc>
          <w:tcPr>
            <w:tcW w:w="487"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2021.7.19</w:t>
            </w:r>
          </w:p>
        </w:tc>
      </w:tr>
      <w:tr>
        <w:tblPrEx>
          <w:tblBorders>
            <w:top w:val="single" w:color="auto" w:sz="4" w:space="0"/>
            <w:left w:val="none" w:color="auto" w:sz="4" w:space="0"/>
            <w:bottom w:val="none" w:color="auto" w:sz="4" w:space="0"/>
            <w:right w:val="none" w:color="auto" w:sz="4" w:space="0"/>
            <w:insideH w:val="none" w:color="auto" w:sz="4" w:space="0"/>
            <w:insideV w:val="none" w:color="auto" w:sz="4" w:space="0"/>
          </w:tblBorders>
          <w:tblCellMar>
            <w:top w:w="0" w:type="dxa"/>
            <w:left w:w="108" w:type="dxa"/>
            <w:bottom w:w="0" w:type="dxa"/>
            <w:right w:w="108" w:type="dxa"/>
          </w:tblCellMar>
        </w:tblPrEx>
        <w:trPr>
          <w:cantSplit/>
          <w:trHeight w:val="1596" w:hRule="atLeast"/>
          <w:jc w:val="center"/>
        </w:trPr>
        <w:tc>
          <w:tcPr>
            <w:tcW w:w="274" w:type="pct"/>
            <w:tcBorders>
              <w:top w:val="nil"/>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2</w:t>
            </w:r>
          </w:p>
        </w:tc>
        <w:tc>
          <w:tcPr>
            <w:tcW w:w="506"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徐州远强化工有限公司原厂址</w:t>
            </w:r>
          </w:p>
        </w:tc>
        <w:tc>
          <w:tcPr>
            <w:tcW w:w="347"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徐州</w:t>
            </w:r>
          </w:p>
        </w:tc>
        <w:tc>
          <w:tcPr>
            <w:tcW w:w="497"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color w:val="auto"/>
                <w:kern w:val="0"/>
                <w:sz w:val="18"/>
                <w:szCs w:val="18"/>
              </w:rPr>
            </w:pPr>
            <w:r>
              <w:rPr>
                <w:rFonts w:ascii="Times New Roman" w:hAnsi="Times New Roman" w:cs="Times New Roman"/>
                <w:color w:val="auto"/>
                <w:kern w:val="0"/>
                <w:sz w:val="18"/>
                <w:szCs w:val="18"/>
              </w:rPr>
              <w:t>徐州市鼓楼区复兴北路孟家沟</w:t>
            </w:r>
          </w:p>
        </w:tc>
        <w:tc>
          <w:tcPr>
            <w:tcW w:w="752"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color w:val="auto"/>
                <w:kern w:val="0"/>
                <w:sz w:val="18"/>
                <w:szCs w:val="18"/>
              </w:rPr>
            </w:pPr>
            <w:r>
              <w:rPr>
                <w:rFonts w:ascii="Times New Roman" w:hAnsi="Times New Roman" w:cs="Times New Roman"/>
                <w:color w:val="auto"/>
                <w:kern w:val="0"/>
                <w:sz w:val="18"/>
                <w:szCs w:val="18"/>
              </w:rPr>
              <w:t>北至恒源热力有限公司，东至万和化工地块，西至琵琶村小部分居民住宅和原天富食品添加剂公司东厂界，南至琵琶路</w:t>
            </w:r>
          </w:p>
        </w:tc>
        <w:tc>
          <w:tcPr>
            <w:tcW w:w="453"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color w:val="auto"/>
                <w:kern w:val="0"/>
                <w:sz w:val="18"/>
                <w:szCs w:val="18"/>
              </w:rPr>
            </w:pPr>
            <w:r>
              <w:rPr>
                <w:rFonts w:ascii="Times New Roman" w:hAnsi="Times New Roman" w:cs="Times New Roman"/>
                <w:color w:val="auto"/>
                <w:kern w:val="0"/>
                <w:sz w:val="18"/>
                <w:szCs w:val="18"/>
              </w:rPr>
              <w:t>100573</w:t>
            </w:r>
            <w:bookmarkStart w:id="0" w:name="_GoBack"/>
            <w:bookmarkEnd w:id="0"/>
          </w:p>
        </w:tc>
        <w:tc>
          <w:tcPr>
            <w:tcW w:w="486"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color w:val="auto"/>
                <w:kern w:val="0"/>
                <w:sz w:val="18"/>
                <w:szCs w:val="18"/>
              </w:rPr>
            </w:pPr>
            <w:r>
              <w:rPr>
                <w:rFonts w:ascii="Times New Roman" w:hAnsi="Times New Roman" w:cs="Times New Roman"/>
                <w:color w:val="auto"/>
                <w:kern w:val="0"/>
                <w:sz w:val="18"/>
                <w:szCs w:val="18"/>
              </w:rPr>
              <w:t>徐州市土地储备中心</w:t>
            </w:r>
          </w:p>
        </w:tc>
        <w:tc>
          <w:tcPr>
            <w:tcW w:w="620"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color w:val="auto"/>
                <w:kern w:val="0"/>
                <w:sz w:val="18"/>
                <w:szCs w:val="18"/>
              </w:rPr>
            </w:pPr>
            <w:r>
              <w:rPr>
                <w:rFonts w:ascii="Times New Roman" w:hAnsi="Times New Roman" w:cs="Times New Roman"/>
                <w:color w:val="auto"/>
                <w:kern w:val="0"/>
                <w:sz w:val="18"/>
                <w:szCs w:val="18"/>
              </w:rPr>
              <w:t>满足居住用地、公共管理与公共服务用地、商业服务业用地、交通运输用地、绿地与开敞空间用地土壤环境质量要求</w:t>
            </w:r>
          </w:p>
        </w:tc>
        <w:tc>
          <w:tcPr>
            <w:tcW w:w="573"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hint="eastAsia" w:ascii="Times New Roman" w:hAnsi="Times New Roman" w:cs="Times New Roman"/>
                <w:kern w:val="0"/>
                <w:sz w:val="18"/>
                <w:szCs w:val="18"/>
                <w:lang w:val="en-US" w:eastAsia="zh-CN"/>
              </w:rPr>
              <w:t>江苏方正环保集团有限公司</w:t>
            </w:r>
          </w:p>
        </w:tc>
        <w:tc>
          <w:tcPr>
            <w:tcW w:w="487"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2021.7.19</w:t>
            </w:r>
          </w:p>
        </w:tc>
      </w:tr>
      <w:tr>
        <w:tblPrEx>
          <w:tblBorders>
            <w:top w:val="single" w:color="auto" w:sz="4" w:space="0"/>
            <w:left w:val="none" w:color="auto" w:sz="4" w:space="0"/>
            <w:bottom w:val="none" w:color="auto" w:sz="4" w:space="0"/>
            <w:right w:val="none" w:color="auto" w:sz="4" w:space="0"/>
            <w:insideH w:val="none" w:color="auto" w:sz="4" w:space="0"/>
            <w:insideV w:val="none" w:color="auto" w:sz="4" w:space="0"/>
          </w:tblBorders>
          <w:tblCellMar>
            <w:top w:w="0" w:type="dxa"/>
            <w:left w:w="108" w:type="dxa"/>
            <w:bottom w:w="0" w:type="dxa"/>
            <w:right w:w="108" w:type="dxa"/>
          </w:tblCellMar>
        </w:tblPrEx>
        <w:trPr>
          <w:cantSplit/>
          <w:trHeight w:val="1380" w:hRule="atLeast"/>
          <w:jc w:val="center"/>
        </w:trPr>
        <w:tc>
          <w:tcPr>
            <w:tcW w:w="274" w:type="pct"/>
            <w:tcBorders>
              <w:top w:val="nil"/>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3</w:t>
            </w:r>
          </w:p>
        </w:tc>
        <w:tc>
          <w:tcPr>
            <w:tcW w:w="506"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兴梅路以西、龙翔路以南地块</w:t>
            </w:r>
          </w:p>
        </w:tc>
        <w:tc>
          <w:tcPr>
            <w:tcW w:w="347"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南京</w:t>
            </w:r>
          </w:p>
        </w:tc>
        <w:tc>
          <w:tcPr>
            <w:tcW w:w="497"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南京市雨花台区西善桥街道</w:t>
            </w:r>
          </w:p>
        </w:tc>
        <w:tc>
          <w:tcPr>
            <w:tcW w:w="752"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东侧毗邻兴梅路（规划道路），西侧毗邻七彩星城，南侧毗邻兴梅路以西、华新路两侧地块，北侧毗邻龙翔路</w:t>
            </w:r>
          </w:p>
        </w:tc>
        <w:tc>
          <w:tcPr>
            <w:tcW w:w="453"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15</w:t>
            </w:r>
            <w:r>
              <w:rPr>
                <w:rFonts w:hint="eastAsia" w:ascii="Times New Roman" w:hAnsi="Times New Roman" w:cs="Times New Roman"/>
                <w:kern w:val="0"/>
                <w:sz w:val="18"/>
                <w:szCs w:val="18"/>
                <w:lang w:val="en-US" w:eastAsia="zh-CN"/>
              </w:rPr>
              <w:t>0004.12</w:t>
            </w:r>
          </w:p>
        </w:tc>
        <w:tc>
          <w:tcPr>
            <w:tcW w:w="486"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南京市土地储备中心</w:t>
            </w:r>
          </w:p>
        </w:tc>
        <w:tc>
          <w:tcPr>
            <w:tcW w:w="620"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满足居住用地土壤环境质量要求</w:t>
            </w:r>
          </w:p>
        </w:tc>
        <w:tc>
          <w:tcPr>
            <w:tcW w:w="573"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color w:val="FF0000"/>
                <w:kern w:val="0"/>
                <w:sz w:val="18"/>
                <w:szCs w:val="18"/>
              </w:rPr>
            </w:pPr>
            <w:r>
              <w:rPr>
                <w:rFonts w:ascii="Times New Roman" w:hAnsi="Times New Roman" w:cs="Times New Roman"/>
                <w:kern w:val="0"/>
                <w:sz w:val="18"/>
                <w:szCs w:val="18"/>
              </w:rPr>
              <w:t>南京大学环境规划设计研究院集团股份公司</w:t>
            </w:r>
          </w:p>
        </w:tc>
        <w:tc>
          <w:tcPr>
            <w:tcW w:w="487"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2021.7.18</w:t>
            </w:r>
          </w:p>
        </w:tc>
      </w:tr>
      <w:tr>
        <w:tblPrEx>
          <w:tblBorders>
            <w:top w:val="single" w:color="auto" w:sz="4" w:space="0"/>
            <w:left w:val="none" w:color="auto" w:sz="4" w:space="0"/>
            <w:bottom w:val="none" w:color="auto" w:sz="4" w:space="0"/>
            <w:right w:val="none" w:color="auto" w:sz="4" w:space="0"/>
            <w:insideH w:val="none" w:color="auto" w:sz="4" w:space="0"/>
            <w:insideV w:val="none" w:color="auto" w:sz="4" w:space="0"/>
          </w:tblBorders>
          <w:tblCellMar>
            <w:top w:w="0" w:type="dxa"/>
            <w:left w:w="108" w:type="dxa"/>
            <w:bottom w:w="0" w:type="dxa"/>
            <w:right w:w="108" w:type="dxa"/>
          </w:tblCellMar>
        </w:tblPrEx>
        <w:trPr>
          <w:cantSplit/>
          <w:trHeight w:val="1508" w:hRule="atLeast"/>
          <w:jc w:val="center"/>
        </w:trPr>
        <w:tc>
          <w:tcPr>
            <w:tcW w:w="274" w:type="pct"/>
            <w:tcBorders>
              <w:top w:val="nil"/>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4</w:t>
            </w:r>
          </w:p>
        </w:tc>
        <w:tc>
          <w:tcPr>
            <w:tcW w:w="506"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兴梅路以西、华新路两侧地块</w:t>
            </w:r>
          </w:p>
        </w:tc>
        <w:tc>
          <w:tcPr>
            <w:tcW w:w="347"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南京</w:t>
            </w:r>
          </w:p>
        </w:tc>
        <w:tc>
          <w:tcPr>
            <w:tcW w:w="497"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南京市雨花台区西善桥街道</w:t>
            </w:r>
          </w:p>
        </w:tc>
        <w:tc>
          <w:tcPr>
            <w:tcW w:w="752"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东侧毗邻兴梅路（规划道路），西侧毗邻七彩星城，南侧毗邻兴梅路以西、龙西路两侧地块，北侧毗邻兴梅路以西、龙翔路以南地块</w:t>
            </w:r>
          </w:p>
        </w:tc>
        <w:tc>
          <w:tcPr>
            <w:tcW w:w="453"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156698.01</w:t>
            </w:r>
          </w:p>
        </w:tc>
        <w:tc>
          <w:tcPr>
            <w:tcW w:w="486"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南京市土地储备中心</w:t>
            </w:r>
          </w:p>
        </w:tc>
        <w:tc>
          <w:tcPr>
            <w:tcW w:w="620"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满足居住用地土壤环境质量要求</w:t>
            </w:r>
          </w:p>
        </w:tc>
        <w:tc>
          <w:tcPr>
            <w:tcW w:w="573"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color w:val="FF0000"/>
                <w:kern w:val="0"/>
                <w:sz w:val="18"/>
                <w:szCs w:val="18"/>
              </w:rPr>
            </w:pPr>
            <w:r>
              <w:rPr>
                <w:rFonts w:ascii="Times New Roman" w:hAnsi="Times New Roman" w:cs="Times New Roman"/>
                <w:kern w:val="0"/>
                <w:sz w:val="18"/>
                <w:szCs w:val="18"/>
              </w:rPr>
              <w:t>南京大学环境规划设计研究院集团股份公司</w:t>
            </w:r>
          </w:p>
        </w:tc>
        <w:tc>
          <w:tcPr>
            <w:tcW w:w="487"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2021.7.18</w:t>
            </w:r>
          </w:p>
        </w:tc>
      </w:tr>
      <w:tr>
        <w:tblPrEx>
          <w:tblBorders>
            <w:top w:val="single" w:color="auto" w:sz="4" w:space="0"/>
            <w:left w:val="none" w:color="auto" w:sz="4" w:space="0"/>
            <w:bottom w:val="none" w:color="auto" w:sz="4" w:space="0"/>
            <w:right w:val="none" w:color="auto" w:sz="4" w:space="0"/>
            <w:insideH w:val="none" w:color="auto" w:sz="4" w:space="0"/>
            <w:insideV w:val="none" w:color="auto" w:sz="4" w:space="0"/>
          </w:tblBorders>
          <w:tblCellMar>
            <w:top w:w="0" w:type="dxa"/>
            <w:left w:w="108" w:type="dxa"/>
            <w:bottom w:w="0" w:type="dxa"/>
            <w:right w:w="108" w:type="dxa"/>
          </w:tblCellMar>
        </w:tblPrEx>
        <w:trPr>
          <w:cantSplit/>
          <w:trHeight w:val="1368" w:hRule="atLeast"/>
          <w:jc w:val="center"/>
        </w:trPr>
        <w:tc>
          <w:tcPr>
            <w:tcW w:w="274" w:type="pct"/>
            <w:tcBorders>
              <w:top w:val="nil"/>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5</w:t>
            </w:r>
          </w:p>
        </w:tc>
        <w:tc>
          <w:tcPr>
            <w:tcW w:w="506"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兴梅路以西、龙西路两侧地块</w:t>
            </w:r>
          </w:p>
        </w:tc>
        <w:tc>
          <w:tcPr>
            <w:tcW w:w="347"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南京</w:t>
            </w:r>
          </w:p>
        </w:tc>
        <w:tc>
          <w:tcPr>
            <w:tcW w:w="497"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南京市雨花台区西善桥街道</w:t>
            </w:r>
          </w:p>
        </w:tc>
        <w:tc>
          <w:tcPr>
            <w:tcW w:w="752"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东侧毗邻兴梅路（规划道路），西侧毗邻宁芜铁路，南侧毗邻陇西路，北侧毗邻兴梅路以西、华新路两侧地块龙翔路</w:t>
            </w:r>
          </w:p>
        </w:tc>
        <w:tc>
          <w:tcPr>
            <w:tcW w:w="453"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313957.76</w:t>
            </w:r>
          </w:p>
        </w:tc>
        <w:tc>
          <w:tcPr>
            <w:tcW w:w="486"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南京市土地储备中心</w:t>
            </w:r>
          </w:p>
        </w:tc>
        <w:tc>
          <w:tcPr>
            <w:tcW w:w="620"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满足居住用地土壤环境质量要求</w:t>
            </w:r>
          </w:p>
        </w:tc>
        <w:tc>
          <w:tcPr>
            <w:tcW w:w="573"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color w:val="FF0000"/>
                <w:kern w:val="0"/>
                <w:sz w:val="18"/>
                <w:szCs w:val="18"/>
              </w:rPr>
            </w:pPr>
            <w:r>
              <w:rPr>
                <w:rFonts w:ascii="Times New Roman" w:hAnsi="Times New Roman" w:cs="Times New Roman"/>
                <w:kern w:val="0"/>
                <w:sz w:val="18"/>
                <w:szCs w:val="18"/>
              </w:rPr>
              <w:t>南京大学环境规划设计研究院集团股份公司</w:t>
            </w:r>
          </w:p>
        </w:tc>
        <w:tc>
          <w:tcPr>
            <w:tcW w:w="487"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2021.7.18</w:t>
            </w:r>
          </w:p>
        </w:tc>
      </w:tr>
      <w:tr>
        <w:tblPrEx>
          <w:tblBorders>
            <w:top w:val="single" w:color="auto" w:sz="4" w:space="0"/>
            <w:left w:val="none" w:color="auto" w:sz="4" w:space="0"/>
            <w:bottom w:val="none" w:color="auto" w:sz="4" w:space="0"/>
            <w:right w:val="none" w:color="auto" w:sz="4" w:space="0"/>
            <w:insideH w:val="none" w:color="auto" w:sz="4" w:space="0"/>
            <w:insideV w:val="none" w:color="auto" w:sz="4" w:space="0"/>
          </w:tblBorders>
          <w:tblCellMar>
            <w:top w:w="0" w:type="dxa"/>
            <w:left w:w="108" w:type="dxa"/>
            <w:bottom w:w="0" w:type="dxa"/>
            <w:right w:w="108" w:type="dxa"/>
          </w:tblCellMar>
        </w:tblPrEx>
        <w:trPr>
          <w:cantSplit/>
          <w:trHeight w:val="936" w:hRule="atLeast"/>
          <w:jc w:val="center"/>
        </w:trPr>
        <w:tc>
          <w:tcPr>
            <w:tcW w:w="274" w:type="pct"/>
            <w:tcBorders>
              <w:top w:val="nil"/>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6</w:t>
            </w:r>
          </w:p>
        </w:tc>
        <w:tc>
          <w:tcPr>
            <w:tcW w:w="506"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江北新区江北大道以东、万寿路以南地块</w:t>
            </w:r>
          </w:p>
        </w:tc>
        <w:tc>
          <w:tcPr>
            <w:tcW w:w="347"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南京</w:t>
            </w:r>
          </w:p>
        </w:tc>
        <w:tc>
          <w:tcPr>
            <w:tcW w:w="497"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南京市江北新区万寿路5号</w:t>
            </w:r>
          </w:p>
        </w:tc>
        <w:tc>
          <w:tcPr>
            <w:tcW w:w="752"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东至新浦路，西至江北大道，南至临滁路，北至万寿路</w:t>
            </w:r>
          </w:p>
        </w:tc>
        <w:tc>
          <w:tcPr>
            <w:tcW w:w="453"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64545.07</w:t>
            </w:r>
          </w:p>
        </w:tc>
        <w:tc>
          <w:tcPr>
            <w:tcW w:w="486"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南京市江北新区土地储备中心</w:t>
            </w:r>
          </w:p>
        </w:tc>
        <w:tc>
          <w:tcPr>
            <w:tcW w:w="620"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满足居住用地土壤环境质量要求</w:t>
            </w:r>
          </w:p>
        </w:tc>
        <w:tc>
          <w:tcPr>
            <w:tcW w:w="573"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hint="default" w:ascii="Times New Roman" w:hAnsi="Times New Roman" w:eastAsia="宋体" w:cs="Times New Roman"/>
                <w:kern w:val="0"/>
                <w:sz w:val="18"/>
                <w:szCs w:val="18"/>
                <w:lang w:val="en-US" w:eastAsia="zh-CN"/>
              </w:rPr>
            </w:pPr>
            <w:r>
              <w:rPr>
                <w:rFonts w:hint="eastAsia" w:ascii="Times New Roman" w:hAnsi="Times New Roman" w:cs="Times New Roman"/>
                <w:kern w:val="0"/>
                <w:sz w:val="18"/>
                <w:szCs w:val="18"/>
                <w:lang w:val="en-US" w:eastAsia="zh-CN"/>
              </w:rPr>
              <w:t>上海市政工程设计研究总院（集团）有限公司</w:t>
            </w:r>
          </w:p>
        </w:tc>
        <w:tc>
          <w:tcPr>
            <w:tcW w:w="487"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2021.9.18</w:t>
            </w:r>
          </w:p>
        </w:tc>
      </w:tr>
      <w:tr>
        <w:tblPrEx>
          <w:tblBorders>
            <w:top w:val="single" w:color="auto" w:sz="4" w:space="0"/>
            <w:left w:val="none" w:color="auto" w:sz="4" w:space="0"/>
            <w:bottom w:val="none" w:color="auto" w:sz="4" w:space="0"/>
            <w:right w:val="none" w:color="auto" w:sz="4" w:space="0"/>
            <w:insideH w:val="none" w:color="auto" w:sz="4" w:space="0"/>
            <w:insideV w:val="none" w:color="auto" w:sz="4" w:space="0"/>
          </w:tblBorders>
          <w:tblCellMar>
            <w:top w:w="0" w:type="dxa"/>
            <w:left w:w="108" w:type="dxa"/>
            <w:bottom w:w="0" w:type="dxa"/>
            <w:right w:w="108" w:type="dxa"/>
          </w:tblCellMar>
        </w:tblPrEx>
        <w:trPr>
          <w:cantSplit/>
          <w:trHeight w:val="1260" w:hRule="atLeast"/>
          <w:jc w:val="center"/>
        </w:trPr>
        <w:tc>
          <w:tcPr>
            <w:tcW w:w="274" w:type="pct"/>
            <w:tcBorders>
              <w:top w:val="nil"/>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7</w:t>
            </w:r>
          </w:p>
        </w:tc>
        <w:tc>
          <w:tcPr>
            <w:tcW w:w="506"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雨花南路以北、雨花西路以东（原南京依维柯汽车有限公司SOFIM发动机厂）地块</w:t>
            </w:r>
          </w:p>
        </w:tc>
        <w:tc>
          <w:tcPr>
            <w:tcW w:w="347"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南京</w:t>
            </w:r>
          </w:p>
        </w:tc>
        <w:tc>
          <w:tcPr>
            <w:tcW w:w="497"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南京市雨花台区雨花西路123号</w:t>
            </w:r>
          </w:p>
        </w:tc>
        <w:tc>
          <w:tcPr>
            <w:tcW w:w="752"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雨花西路以东，雨花新村小区以西，先锋青年公寓以南，雨花南路以北</w:t>
            </w:r>
          </w:p>
        </w:tc>
        <w:tc>
          <w:tcPr>
            <w:tcW w:w="453"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84340.2</w:t>
            </w:r>
          </w:p>
        </w:tc>
        <w:tc>
          <w:tcPr>
            <w:tcW w:w="486"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color w:val="auto"/>
                <w:kern w:val="0"/>
                <w:sz w:val="18"/>
                <w:szCs w:val="18"/>
              </w:rPr>
            </w:pPr>
            <w:r>
              <w:rPr>
                <w:rFonts w:ascii="Times New Roman" w:hAnsi="Times New Roman" w:cs="Times New Roman"/>
                <w:color w:val="auto"/>
                <w:kern w:val="0"/>
                <w:sz w:val="18"/>
                <w:szCs w:val="18"/>
              </w:rPr>
              <w:t>南京依维柯汽车有限公司</w:t>
            </w:r>
          </w:p>
        </w:tc>
        <w:tc>
          <w:tcPr>
            <w:tcW w:w="620"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color w:val="auto"/>
                <w:kern w:val="0"/>
                <w:sz w:val="18"/>
                <w:szCs w:val="18"/>
              </w:rPr>
            </w:pPr>
            <w:r>
              <w:rPr>
                <w:rFonts w:ascii="Times New Roman" w:hAnsi="Times New Roman" w:cs="Times New Roman"/>
                <w:color w:val="auto"/>
                <w:kern w:val="0"/>
                <w:sz w:val="18"/>
                <w:szCs w:val="18"/>
              </w:rPr>
              <w:t>满足居住用地、公共管理与公共服务用地土壤环境质量要求</w:t>
            </w:r>
          </w:p>
        </w:tc>
        <w:tc>
          <w:tcPr>
            <w:tcW w:w="573"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hint="default" w:ascii="Times New Roman" w:hAnsi="Times New Roman" w:cs="Times New Roman"/>
                <w:kern w:val="0"/>
                <w:sz w:val="18"/>
                <w:szCs w:val="18"/>
                <w:lang w:val="en-US" w:eastAsia="zh-CN"/>
              </w:rPr>
            </w:pPr>
            <w:r>
              <w:rPr>
                <w:rFonts w:hint="eastAsia" w:ascii="Times New Roman" w:hAnsi="Times New Roman" w:cs="Times New Roman"/>
                <w:kern w:val="0"/>
                <w:sz w:val="18"/>
                <w:szCs w:val="18"/>
                <w:lang w:val="en-US" w:eastAsia="zh-CN"/>
              </w:rPr>
              <w:t>江苏南京地质工程勘察院</w:t>
            </w:r>
          </w:p>
        </w:tc>
        <w:tc>
          <w:tcPr>
            <w:tcW w:w="487"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2021.10.9</w:t>
            </w:r>
          </w:p>
        </w:tc>
      </w:tr>
      <w:tr>
        <w:tblPrEx>
          <w:tblBorders>
            <w:top w:val="single" w:color="auto" w:sz="4" w:space="0"/>
            <w:left w:val="none" w:color="auto" w:sz="4" w:space="0"/>
            <w:bottom w:val="none" w:color="auto" w:sz="4" w:space="0"/>
            <w:right w:val="none" w:color="auto" w:sz="4" w:space="0"/>
            <w:insideH w:val="none" w:color="auto" w:sz="4" w:space="0"/>
            <w:insideV w:val="none" w:color="auto" w:sz="4" w:space="0"/>
          </w:tblBorders>
          <w:tblCellMar>
            <w:top w:w="0" w:type="dxa"/>
            <w:left w:w="108" w:type="dxa"/>
            <w:bottom w:w="0" w:type="dxa"/>
            <w:right w:w="108" w:type="dxa"/>
          </w:tblCellMar>
        </w:tblPrEx>
        <w:trPr>
          <w:cantSplit/>
          <w:trHeight w:val="780" w:hRule="atLeast"/>
          <w:jc w:val="center"/>
        </w:trPr>
        <w:tc>
          <w:tcPr>
            <w:tcW w:w="274" w:type="pct"/>
            <w:tcBorders>
              <w:top w:val="nil"/>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8</w:t>
            </w:r>
          </w:p>
        </w:tc>
        <w:tc>
          <w:tcPr>
            <w:tcW w:w="506"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原伍佑雨伞厂地块</w:t>
            </w:r>
          </w:p>
        </w:tc>
        <w:tc>
          <w:tcPr>
            <w:tcW w:w="347"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盐城</w:t>
            </w:r>
          </w:p>
        </w:tc>
        <w:tc>
          <w:tcPr>
            <w:tcW w:w="497"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盐城市城南新区伍佑街道伍佑西路30号</w:t>
            </w:r>
          </w:p>
        </w:tc>
        <w:tc>
          <w:tcPr>
            <w:tcW w:w="752"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东至未知道路，西至串场河，南至伍佑西路，北至北侧小沟</w:t>
            </w:r>
          </w:p>
        </w:tc>
        <w:tc>
          <w:tcPr>
            <w:tcW w:w="453"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4198</w:t>
            </w:r>
          </w:p>
        </w:tc>
        <w:tc>
          <w:tcPr>
            <w:tcW w:w="486"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江苏省盐南高新区伍佑街道办事处</w:t>
            </w:r>
          </w:p>
        </w:tc>
        <w:tc>
          <w:tcPr>
            <w:tcW w:w="620"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满足居住用地土壤环境质量要求</w:t>
            </w:r>
          </w:p>
        </w:tc>
        <w:tc>
          <w:tcPr>
            <w:tcW w:w="573"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hint="eastAsia" w:ascii="Times New Roman" w:hAnsi="Times New Roman" w:cs="Times New Roman"/>
                <w:kern w:val="0"/>
                <w:sz w:val="18"/>
                <w:szCs w:val="18"/>
                <w:lang w:val="en-US" w:eastAsia="zh-CN"/>
              </w:rPr>
            </w:pPr>
            <w:r>
              <w:rPr>
                <w:rFonts w:hint="eastAsia" w:ascii="Times New Roman" w:hAnsi="Times New Roman" w:cs="Times New Roman"/>
                <w:kern w:val="0"/>
                <w:sz w:val="18"/>
                <w:szCs w:val="18"/>
                <w:lang w:val="en-US" w:eastAsia="zh-CN"/>
              </w:rPr>
              <w:t>南京赛特环境工程有限公司</w:t>
            </w:r>
          </w:p>
        </w:tc>
        <w:tc>
          <w:tcPr>
            <w:tcW w:w="487"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2021.9.25</w:t>
            </w:r>
          </w:p>
        </w:tc>
      </w:tr>
      <w:tr>
        <w:tblPrEx>
          <w:tblBorders>
            <w:top w:val="single" w:color="auto" w:sz="4" w:space="0"/>
            <w:left w:val="none" w:color="auto" w:sz="4" w:space="0"/>
            <w:bottom w:val="none" w:color="auto" w:sz="4" w:space="0"/>
            <w:right w:val="none" w:color="auto" w:sz="4" w:space="0"/>
            <w:insideH w:val="none" w:color="auto" w:sz="4" w:space="0"/>
            <w:insideV w:val="none" w:color="auto" w:sz="4" w:space="0"/>
          </w:tblBorders>
          <w:tblCellMar>
            <w:top w:w="0" w:type="dxa"/>
            <w:left w:w="108" w:type="dxa"/>
            <w:bottom w:w="0" w:type="dxa"/>
            <w:right w:w="108" w:type="dxa"/>
          </w:tblCellMar>
        </w:tblPrEx>
        <w:trPr>
          <w:cantSplit/>
          <w:trHeight w:val="1560" w:hRule="atLeast"/>
          <w:jc w:val="center"/>
        </w:trPr>
        <w:tc>
          <w:tcPr>
            <w:tcW w:w="274" w:type="pct"/>
            <w:tcBorders>
              <w:top w:val="nil"/>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9</w:t>
            </w:r>
          </w:p>
        </w:tc>
        <w:tc>
          <w:tcPr>
            <w:tcW w:w="506"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原江苏永大药业有限公司退役地块</w:t>
            </w:r>
          </w:p>
        </w:tc>
        <w:tc>
          <w:tcPr>
            <w:tcW w:w="347"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盐城</w:t>
            </w:r>
          </w:p>
        </w:tc>
        <w:tc>
          <w:tcPr>
            <w:tcW w:w="497"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盐城市亭湖区海纯东路 3 号</w:t>
            </w:r>
          </w:p>
        </w:tc>
        <w:tc>
          <w:tcPr>
            <w:tcW w:w="752"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东侧为盐城市曜源染整有限公司和盐城市钢管厂有限公司，西侧为世福苑小区，南至小洋河，北至海纯东路</w:t>
            </w:r>
          </w:p>
        </w:tc>
        <w:tc>
          <w:tcPr>
            <w:tcW w:w="453"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35350</w:t>
            </w:r>
          </w:p>
        </w:tc>
        <w:tc>
          <w:tcPr>
            <w:tcW w:w="486"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盐城市亭湖区人民政府毓龙街道办事处</w:t>
            </w:r>
          </w:p>
        </w:tc>
        <w:tc>
          <w:tcPr>
            <w:tcW w:w="620"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满足居住用地土壤环境质量要求</w:t>
            </w:r>
          </w:p>
        </w:tc>
        <w:tc>
          <w:tcPr>
            <w:tcW w:w="573" w:type="pct"/>
            <w:tcBorders>
              <w:top w:val="nil"/>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D0D0D"/>
                <w:kern w:val="2"/>
                <w:sz w:val="18"/>
                <w:szCs w:val="18"/>
                <w:u w:val="none"/>
                <w:lang w:val="en-US" w:eastAsia="zh-CN" w:bidi="ar-SA"/>
              </w:rPr>
            </w:pPr>
            <w:r>
              <w:rPr>
                <w:rFonts w:hint="eastAsia" w:ascii="宋体" w:hAnsi="宋体" w:eastAsia="宋体" w:cs="宋体"/>
                <w:i w:val="0"/>
                <w:iCs w:val="0"/>
                <w:color w:val="0D0D0D"/>
                <w:kern w:val="0"/>
                <w:sz w:val="18"/>
                <w:szCs w:val="18"/>
                <w:u w:val="none"/>
                <w:lang w:val="en-US" w:eastAsia="zh-CN" w:bidi="ar"/>
              </w:rPr>
              <w:t>江苏科易达环保科技有限公司</w:t>
            </w:r>
          </w:p>
        </w:tc>
        <w:tc>
          <w:tcPr>
            <w:tcW w:w="487"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2021.12.9</w:t>
            </w:r>
          </w:p>
        </w:tc>
      </w:tr>
      <w:tr>
        <w:tblPrEx>
          <w:tblBorders>
            <w:top w:val="single" w:color="auto" w:sz="4" w:space="0"/>
            <w:left w:val="none" w:color="auto" w:sz="4" w:space="0"/>
            <w:bottom w:val="none" w:color="auto" w:sz="4" w:space="0"/>
            <w:right w:val="none" w:color="auto" w:sz="4" w:space="0"/>
            <w:insideH w:val="none" w:color="auto" w:sz="4" w:space="0"/>
            <w:insideV w:val="none" w:color="auto" w:sz="4" w:space="0"/>
          </w:tblBorders>
          <w:tblCellMar>
            <w:top w:w="0" w:type="dxa"/>
            <w:left w:w="108" w:type="dxa"/>
            <w:bottom w:w="0" w:type="dxa"/>
            <w:right w:w="108" w:type="dxa"/>
          </w:tblCellMar>
        </w:tblPrEx>
        <w:trPr>
          <w:cantSplit/>
          <w:trHeight w:val="1040" w:hRule="atLeast"/>
          <w:jc w:val="center"/>
        </w:trPr>
        <w:tc>
          <w:tcPr>
            <w:tcW w:w="274" w:type="pct"/>
            <w:tcBorders>
              <w:top w:val="nil"/>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10</w:t>
            </w:r>
          </w:p>
        </w:tc>
        <w:tc>
          <w:tcPr>
            <w:tcW w:w="506"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浦口区吉林路以东、纵五路以西地块（汤泉政府西侧2-2号地块）</w:t>
            </w:r>
          </w:p>
        </w:tc>
        <w:tc>
          <w:tcPr>
            <w:tcW w:w="347"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南京</w:t>
            </w:r>
          </w:p>
        </w:tc>
        <w:tc>
          <w:tcPr>
            <w:tcW w:w="497"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南京市浦口区汤泉街道</w:t>
            </w:r>
          </w:p>
        </w:tc>
        <w:tc>
          <w:tcPr>
            <w:tcW w:w="752"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东至规划二类居住用地，南至假日路，西至吉泉南路，北至大吉小区</w:t>
            </w:r>
          </w:p>
        </w:tc>
        <w:tc>
          <w:tcPr>
            <w:tcW w:w="453"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21406.23</w:t>
            </w:r>
          </w:p>
        </w:tc>
        <w:tc>
          <w:tcPr>
            <w:tcW w:w="486"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浦口区土地储备中心</w:t>
            </w:r>
          </w:p>
        </w:tc>
        <w:tc>
          <w:tcPr>
            <w:tcW w:w="620"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满足居住用地土壤环境质量要求</w:t>
            </w:r>
          </w:p>
        </w:tc>
        <w:tc>
          <w:tcPr>
            <w:tcW w:w="573" w:type="pct"/>
            <w:tcBorders>
              <w:top w:val="nil"/>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D0D0D"/>
                <w:kern w:val="2"/>
                <w:sz w:val="18"/>
                <w:szCs w:val="18"/>
                <w:u w:val="none"/>
                <w:lang w:val="en-US" w:eastAsia="zh-CN" w:bidi="ar-SA"/>
              </w:rPr>
            </w:pPr>
            <w:r>
              <w:rPr>
                <w:rFonts w:hint="eastAsia" w:ascii="宋体" w:hAnsi="宋体" w:eastAsia="宋体" w:cs="宋体"/>
                <w:i w:val="0"/>
                <w:iCs w:val="0"/>
                <w:color w:val="0D0D0D"/>
                <w:kern w:val="0"/>
                <w:sz w:val="18"/>
                <w:szCs w:val="18"/>
                <w:u w:val="none"/>
                <w:lang w:val="en-US" w:eastAsia="zh-CN" w:bidi="ar"/>
              </w:rPr>
              <w:t>江苏环保产业技术研究院股份公司</w:t>
            </w:r>
          </w:p>
        </w:tc>
        <w:tc>
          <w:tcPr>
            <w:tcW w:w="487"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2021.11.21</w:t>
            </w:r>
          </w:p>
        </w:tc>
      </w:tr>
      <w:tr>
        <w:tblPrEx>
          <w:tblBorders>
            <w:top w:val="single" w:color="auto" w:sz="4" w:space="0"/>
            <w:left w:val="none" w:color="auto" w:sz="4" w:space="0"/>
            <w:bottom w:val="none" w:color="auto" w:sz="4" w:space="0"/>
            <w:right w:val="none" w:color="auto" w:sz="4" w:space="0"/>
            <w:insideH w:val="none" w:color="auto" w:sz="4" w:space="0"/>
            <w:insideV w:val="none" w:color="auto" w:sz="4" w:space="0"/>
          </w:tblBorders>
          <w:tblCellMar>
            <w:top w:w="0" w:type="dxa"/>
            <w:left w:w="108" w:type="dxa"/>
            <w:bottom w:w="0" w:type="dxa"/>
            <w:right w:w="108" w:type="dxa"/>
          </w:tblCellMar>
        </w:tblPrEx>
        <w:trPr>
          <w:cantSplit/>
          <w:trHeight w:val="2080" w:hRule="atLeast"/>
          <w:jc w:val="center"/>
        </w:trPr>
        <w:tc>
          <w:tcPr>
            <w:tcW w:w="274" w:type="pct"/>
            <w:tcBorders>
              <w:top w:val="nil"/>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11</w:t>
            </w:r>
          </w:p>
        </w:tc>
        <w:tc>
          <w:tcPr>
            <w:tcW w:w="506"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徐州市卧牛泉润地块（纬六路以南、学苑西路以西）</w:t>
            </w:r>
          </w:p>
        </w:tc>
        <w:tc>
          <w:tcPr>
            <w:tcW w:w="347"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徐州</w:t>
            </w:r>
          </w:p>
        </w:tc>
        <w:tc>
          <w:tcPr>
            <w:tcW w:w="497"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徐州市泉山区G310（大彭路）火花街道</w:t>
            </w:r>
          </w:p>
        </w:tc>
        <w:tc>
          <w:tcPr>
            <w:tcW w:w="752"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东至规划学苑西路，隔路为规划待建徐州第三十七中学新校区，南至规划道路，隔路为泉盛美家小区，西至中海淮海世家小区，北至规划纬六路</w:t>
            </w:r>
          </w:p>
        </w:tc>
        <w:tc>
          <w:tcPr>
            <w:tcW w:w="453"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44066.4</w:t>
            </w:r>
          </w:p>
        </w:tc>
        <w:tc>
          <w:tcPr>
            <w:tcW w:w="486"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徐州市泉山区房产服务中心</w:t>
            </w:r>
          </w:p>
        </w:tc>
        <w:tc>
          <w:tcPr>
            <w:tcW w:w="620"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满足公共管理与公共服务用地质量要求</w:t>
            </w:r>
          </w:p>
        </w:tc>
        <w:tc>
          <w:tcPr>
            <w:tcW w:w="573" w:type="pct"/>
            <w:tcBorders>
              <w:top w:val="nil"/>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D0D0D"/>
                <w:kern w:val="2"/>
                <w:sz w:val="18"/>
                <w:szCs w:val="18"/>
                <w:u w:val="none"/>
                <w:lang w:val="en-US" w:eastAsia="zh-CN" w:bidi="ar-SA"/>
              </w:rPr>
            </w:pPr>
            <w:r>
              <w:rPr>
                <w:rFonts w:hint="eastAsia" w:asciiTheme="minorEastAsia" w:hAnsiTheme="minorEastAsia" w:eastAsiaTheme="minorEastAsia" w:cstheme="minorEastAsia"/>
                <w:i w:val="0"/>
                <w:iCs w:val="0"/>
                <w:color w:val="0D0D0D"/>
                <w:kern w:val="0"/>
                <w:sz w:val="18"/>
                <w:szCs w:val="18"/>
                <w:u w:val="none"/>
                <w:lang w:val="en-US" w:eastAsia="zh-CN" w:bidi="ar"/>
              </w:rPr>
              <w:t>江苏省环境科学研究院、南京大学环境规划设计研究院集团股份公司</w:t>
            </w:r>
          </w:p>
        </w:tc>
        <w:tc>
          <w:tcPr>
            <w:tcW w:w="487"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2021.12.7</w:t>
            </w:r>
          </w:p>
        </w:tc>
      </w:tr>
    </w:tbl>
    <w:p>
      <w:pPr>
        <w:rPr>
          <w:rFonts w:ascii="Times New Roman" w:hAnsi="Times New Roman" w:cs="Times New Roman"/>
        </w:rPr>
      </w:pPr>
      <w:r>
        <w:rPr>
          <w:rFonts w:ascii="Times New Roman" w:hAnsi="Times New Roman" w:cs="Times New Roman"/>
        </w:rPr>
        <w:br w:type="page"/>
      </w:r>
    </w:p>
    <w:p>
      <w:pPr>
        <w:widowControl/>
        <w:spacing w:line="420" w:lineRule="atLeast"/>
        <w:ind w:right="465"/>
        <w:rPr>
          <w:rFonts w:ascii="Times New Roman" w:hAnsi="Times New Roman" w:eastAsia="黑体" w:cs="Times New Roman"/>
          <w:color w:val="000000"/>
          <w:kern w:val="0"/>
          <w:sz w:val="32"/>
          <w:szCs w:val="32"/>
        </w:rPr>
      </w:pPr>
      <w:r>
        <w:rPr>
          <w:rFonts w:ascii="Times New Roman" w:hAnsi="Times New Roman" w:eastAsia="黑体" w:cs="Times New Roman"/>
          <w:color w:val="000000"/>
          <w:kern w:val="0"/>
          <w:sz w:val="32"/>
          <w:szCs w:val="32"/>
        </w:rPr>
        <w:t>附件2</w:t>
      </w:r>
    </w:p>
    <w:p>
      <w:pPr>
        <w:widowControl/>
        <w:spacing w:line="420" w:lineRule="atLeast"/>
        <w:jc w:val="center"/>
        <w:rPr>
          <w:rFonts w:ascii="Times New Roman" w:hAnsi="Times New Roman" w:eastAsia="方正小标宋_GBK" w:cs="Times New Roman"/>
          <w:color w:val="4A4949"/>
          <w:kern w:val="0"/>
          <w:sz w:val="44"/>
          <w:szCs w:val="44"/>
        </w:rPr>
      </w:pPr>
      <w:r>
        <w:rPr>
          <w:rFonts w:ascii="Times New Roman" w:hAnsi="Times New Roman" w:eastAsia="方正小标宋_GBK" w:cs="Times New Roman"/>
          <w:color w:val="000000"/>
          <w:kern w:val="0"/>
          <w:sz w:val="36"/>
          <w:szCs w:val="36"/>
        </w:rPr>
        <w:t>江苏省建设用地土壤污染风险管控和修复名录移出清单（第六批）</w:t>
      </w:r>
    </w:p>
    <w:tbl>
      <w:tblPr>
        <w:tblStyle w:val="6"/>
        <w:tblW w:w="4916" w:type="pct"/>
        <w:tblInd w:w="-47" w:type="dxa"/>
        <w:tblLayout w:type="autofit"/>
        <w:tblCellMar>
          <w:top w:w="0" w:type="dxa"/>
          <w:left w:w="108" w:type="dxa"/>
          <w:bottom w:w="0" w:type="dxa"/>
          <w:right w:w="108" w:type="dxa"/>
        </w:tblCellMar>
      </w:tblPr>
      <w:tblGrid>
        <w:gridCol w:w="741"/>
        <w:gridCol w:w="1026"/>
        <w:gridCol w:w="735"/>
        <w:gridCol w:w="1031"/>
        <w:gridCol w:w="1610"/>
        <w:gridCol w:w="887"/>
        <w:gridCol w:w="1156"/>
        <w:gridCol w:w="1004"/>
        <w:gridCol w:w="1177"/>
        <w:gridCol w:w="977"/>
        <w:gridCol w:w="1002"/>
        <w:gridCol w:w="1267"/>
        <w:gridCol w:w="1323"/>
      </w:tblGrid>
      <w:tr>
        <w:trPr>
          <w:cantSplit/>
          <w:trHeight w:val="567" w:hRule="atLeast"/>
          <w:tblHeader/>
        </w:trPr>
        <w:tc>
          <w:tcPr>
            <w:tcW w:w="742"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b/>
                <w:bCs/>
                <w:kern w:val="0"/>
                <w:sz w:val="18"/>
                <w:szCs w:val="18"/>
              </w:rPr>
            </w:pPr>
            <w:r>
              <w:rPr>
                <w:rFonts w:ascii="Times New Roman" w:hAnsi="Times New Roman" w:cs="Times New Roman"/>
                <w:b/>
                <w:bCs/>
                <w:kern w:val="0"/>
                <w:sz w:val="18"/>
                <w:szCs w:val="18"/>
              </w:rPr>
              <w:t>序号</w:t>
            </w:r>
          </w:p>
        </w:tc>
        <w:tc>
          <w:tcPr>
            <w:tcW w:w="6445" w:type="dxa"/>
            <w:gridSpan w:val="6"/>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b/>
                <w:bCs/>
                <w:kern w:val="0"/>
                <w:sz w:val="18"/>
                <w:szCs w:val="18"/>
              </w:rPr>
            </w:pPr>
            <w:r>
              <w:rPr>
                <w:rFonts w:ascii="Times New Roman" w:hAnsi="Times New Roman" w:cs="Times New Roman"/>
                <w:b/>
                <w:bCs/>
                <w:kern w:val="0"/>
                <w:sz w:val="18"/>
                <w:szCs w:val="18"/>
              </w:rPr>
              <w:t>地块基本信息</w:t>
            </w:r>
          </w:p>
        </w:tc>
        <w:tc>
          <w:tcPr>
            <w:tcW w:w="5427" w:type="dxa"/>
            <w:gridSpan w:val="5"/>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b/>
                <w:bCs/>
                <w:kern w:val="0"/>
                <w:sz w:val="18"/>
                <w:szCs w:val="18"/>
              </w:rPr>
            </w:pPr>
            <w:r>
              <w:rPr>
                <w:rFonts w:ascii="Times New Roman" w:hAnsi="Times New Roman" w:cs="Times New Roman"/>
                <w:b/>
                <w:bCs/>
                <w:kern w:val="0"/>
                <w:sz w:val="18"/>
                <w:szCs w:val="18"/>
              </w:rPr>
              <w:t>风险管控或修复情况</w:t>
            </w:r>
          </w:p>
        </w:tc>
        <w:tc>
          <w:tcPr>
            <w:tcW w:w="1323"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b/>
                <w:bCs/>
                <w:kern w:val="0"/>
                <w:sz w:val="18"/>
                <w:szCs w:val="18"/>
              </w:rPr>
            </w:pPr>
            <w:r>
              <w:rPr>
                <w:rFonts w:ascii="Times New Roman" w:hAnsi="Times New Roman" w:cs="Times New Roman"/>
                <w:b/>
                <w:bCs/>
                <w:kern w:val="0"/>
                <w:sz w:val="18"/>
                <w:szCs w:val="18"/>
              </w:rPr>
              <w:t>移出日期</w:t>
            </w:r>
          </w:p>
        </w:tc>
      </w:tr>
      <w:tr>
        <w:tblPrEx>
          <w:tblCellMar>
            <w:top w:w="0" w:type="dxa"/>
            <w:left w:w="108" w:type="dxa"/>
            <w:bottom w:w="0" w:type="dxa"/>
            <w:right w:w="108" w:type="dxa"/>
          </w:tblCellMar>
        </w:tblPrEx>
        <w:trPr>
          <w:cantSplit/>
          <w:trHeight w:val="795" w:hRule="atLeast"/>
          <w:tblHeader/>
        </w:trPr>
        <w:tc>
          <w:tcPr>
            <w:tcW w:w="742"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Times New Roman" w:hAnsi="Times New Roman" w:cs="Times New Roman"/>
                <w:b/>
                <w:bCs/>
                <w:kern w:val="0"/>
                <w:sz w:val="18"/>
                <w:szCs w:val="18"/>
              </w:rPr>
            </w:pPr>
          </w:p>
        </w:tc>
        <w:tc>
          <w:tcPr>
            <w:tcW w:w="1026"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b/>
                <w:bCs/>
                <w:kern w:val="0"/>
                <w:sz w:val="18"/>
                <w:szCs w:val="18"/>
              </w:rPr>
            </w:pPr>
            <w:r>
              <w:rPr>
                <w:rFonts w:ascii="Times New Roman" w:hAnsi="Times New Roman" w:cs="Times New Roman"/>
                <w:b/>
                <w:bCs/>
                <w:kern w:val="0"/>
                <w:sz w:val="18"/>
                <w:szCs w:val="18"/>
              </w:rPr>
              <w:t>地块名称</w:t>
            </w:r>
          </w:p>
        </w:tc>
        <w:tc>
          <w:tcPr>
            <w:tcW w:w="735"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b/>
                <w:bCs/>
                <w:kern w:val="0"/>
                <w:sz w:val="18"/>
                <w:szCs w:val="18"/>
              </w:rPr>
            </w:pPr>
            <w:r>
              <w:rPr>
                <w:rFonts w:ascii="Times New Roman" w:hAnsi="Times New Roman" w:cs="Times New Roman"/>
                <w:b/>
                <w:bCs/>
                <w:kern w:val="0"/>
                <w:sz w:val="18"/>
                <w:szCs w:val="18"/>
              </w:rPr>
              <w:t>所在市</w:t>
            </w:r>
          </w:p>
        </w:tc>
        <w:tc>
          <w:tcPr>
            <w:tcW w:w="1031"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b/>
                <w:bCs/>
                <w:kern w:val="0"/>
                <w:sz w:val="18"/>
                <w:szCs w:val="18"/>
              </w:rPr>
            </w:pPr>
            <w:r>
              <w:rPr>
                <w:rFonts w:ascii="Times New Roman" w:hAnsi="Times New Roman" w:cs="Times New Roman"/>
                <w:b/>
                <w:bCs/>
                <w:kern w:val="0"/>
                <w:sz w:val="18"/>
                <w:szCs w:val="18"/>
              </w:rPr>
              <w:t>详细地址</w:t>
            </w:r>
          </w:p>
        </w:tc>
        <w:tc>
          <w:tcPr>
            <w:tcW w:w="1610"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b/>
                <w:bCs/>
                <w:kern w:val="0"/>
                <w:sz w:val="18"/>
                <w:szCs w:val="18"/>
              </w:rPr>
            </w:pPr>
            <w:r>
              <w:rPr>
                <w:rFonts w:ascii="Times New Roman" w:hAnsi="Times New Roman" w:cs="Times New Roman"/>
                <w:b/>
                <w:bCs/>
                <w:kern w:val="0"/>
                <w:sz w:val="18"/>
                <w:szCs w:val="18"/>
              </w:rPr>
              <w:t>四至范围</w:t>
            </w:r>
          </w:p>
        </w:tc>
        <w:tc>
          <w:tcPr>
            <w:tcW w:w="887"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b/>
                <w:bCs/>
                <w:kern w:val="0"/>
                <w:sz w:val="18"/>
                <w:szCs w:val="18"/>
              </w:rPr>
            </w:pPr>
            <w:r>
              <w:rPr>
                <w:rFonts w:ascii="Times New Roman" w:hAnsi="Times New Roman" w:cs="Times New Roman"/>
                <w:b/>
                <w:bCs/>
                <w:kern w:val="0"/>
                <w:sz w:val="18"/>
                <w:szCs w:val="18"/>
              </w:rPr>
              <w:t>地块面积（m2）</w:t>
            </w:r>
          </w:p>
        </w:tc>
        <w:tc>
          <w:tcPr>
            <w:tcW w:w="1156"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b/>
                <w:bCs/>
                <w:kern w:val="0"/>
                <w:sz w:val="18"/>
                <w:szCs w:val="18"/>
              </w:rPr>
            </w:pPr>
            <w:r>
              <w:rPr>
                <w:rFonts w:ascii="Times New Roman" w:hAnsi="Times New Roman" w:cs="Times New Roman"/>
                <w:b/>
                <w:bCs/>
                <w:kern w:val="0"/>
                <w:sz w:val="18"/>
                <w:szCs w:val="18"/>
              </w:rPr>
              <w:t>土地使用权人</w:t>
            </w:r>
          </w:p>
        </w:tc>
        <w:tc>
          <w:tcPr>
            <w:tcW w:w="1004"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b/>
                <w:bCs/>
                <w:kern w:val="0"/>
                <w:sz w:val="18"/>
                <w:szCs w:val="18"/>
              </w:rPr>
            </w:pPr>
            <w:r>
              <w:rPr>
                <w:rFonts w:ascii="Times New Roman" w:hAnsi="Times New Roman" w:cs="Times New Roman"/>
                <w:b/>
                <w:bCs/>
                <w:kern w:val="0"/>
                <w:sz w:val="18"/>
                <w:szCs w:val="18"/>
              </w:rPr>
              <w:t>风险管控或修复目标</w:t>
            </w:r>
          </w:p>
        </w:tc>
        <w:tc>
          <w:tcPr>
            <w:tcW w:w="1177"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b/>
                <w:bCs/>
                <w:kern w:val="0"/>
                <w:sz w:val="18"/>
                <w:szCs w:val="18"/>
              </w:rPr>
            </w:pPr>
            <w:r>
              <w:rPr>
                <w:rFonts w:ascii="Times New Roman" w:hAnsi="Times New Roman" w:cs="Times New Roman"/>
                <w:b/>
                <w:bCs/>
                <w:kern w:val="0"/>
                <w:sz w:val="18"/>
                <w:szCs w:val="18"/>
              </w:rPr>
              <w:t>风险管控或修复方案编制单位</w:t>
            </w:r>
          </w:p>
        </w:tc>
        <w:tc>
          <w:tcPr>
            <w:tcW w:w="977"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b/>
                <w:bCs/>
                <w:kern w:val="0"/>
                <w:sz w:val="18"/>
                <w:szCs w:val="18"/>
              </w:rPr>
            </w:pPr>
            <w:r>
              <w:rPr>
                <w:rFonts w:ascii="Times New Roman" w:hAnsi="Times New Roman" w:cs="Times New Roman"/>
                <w:b/>
                <w:bCs/>
                <w:kern w:val="0"/>
                <w:sz w:val="18"/>
                <w:szCs w:val="18"/>
              </w:rPr>
              <w:t>风险管控或修复单位</w:t>
            </w:r>
          </w:p>
        </w:tc>
        <w:tc>
          <w:tcPr>
            <w:tcW w:w="1002"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b/>
                <w:bCs/>
                <w:kern w:val="0"/>
                <w:sz w:val="18"/>
                <w:szCs w:val="18"/>
              </w:rPr>
            </w:pPr>
            <w:r>
              <w:rPr>
                <w:rFonts w:ascii="Times New Roman" w:hAnsi="Times New Roman" w:cs="Times New Roman"/>
                <w:b/>
                <w:bCs/>
                <w:kern w:val="0"/>
                <w:sz w:val="18"/>
                <w:szCs w:val="18"/>
              </w:rPr>
              <w:t>风险管控或修复委托人</w:t>
            </w:r>
          </w:p>
        </w:tc>
        <w:tc>
          <w:tcPr>
            <w:tcW w:w="1267"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b/>
                <w:bCs/>
                <w:kern w:val="0"/>
                <w:sz w:val="18"/>
                <w:szCs w:val="18"/>
              </w:rPr>
            </w:pPr>
            <w:r>
              <w:rPr>
                <w:rFonts w:ascii="Times New Roman" w:hAnsi="Times New Roman" w:cs="Times New Roman"/>
                <w:b/>
                <w:bCs/>
                <w:kern w:val="0"/>
                <w:sz w:val="18"/>
                <w:szCs w:val="18"/>
              </w:rPr>
              <w:t>风险管控或修复效果评估单位</w:t>
            </w:r>
          </w:p>
        </w:tc>
        <w:tc>
          <w:tcPr>
            <w:tcW w:w="1323"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Times New Roman" w:hAnsi="Times New Roman" w:cs="Times New Roman"/>
                <w:b/>
                <w:bCs/>
                <w:kern w:val="0"/>
                <w:sz w:val="18"/>
                <w:szCs w:val="18"/>
              </w:rPr>
            </w:pPr>
          </w:p>
        </w:tc>
      </w:tr>
      <w:tr>
        <w:tblPrEx>
          <w:tblCellMar>
            <w:top w:w="0" w:type="dxa"/>
            <w:left w:w="108" w:type="dxa"/>
            <w:bottom w:w="0" w:type="dxa"/>
            <w:right w:w="108" w:type="dxa"/>
          </w:tblCellMar>
        </w:tblPrEx>
        <w:trPr>
          <w:cantSplit/>
          <w:trHeight w:val="1218" w:hRule="atLeast"/>
        </w:trPr>
        <w:tc>
          <w:tcPr>
            <w:tcW w:w="742" w:type="dxa"/>
            <w:tcBorders>
              <w:top w:val="nil"/>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1</w:t>
            </w:r>
          </w:p>
        </w:tc>
        <w:tc>
          <w:tcPr>
            <w:tcW w:w="1026"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江阴新南洋纺织科技有限公司原厂址地块</w:t>
            </w:r>
          </w:p>
        </w:tc>
        <w:tc>
          <w:tcPr>
            <w:tcW w:w="735"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无锡</w:t>
            </w:r>
          </w:p>
        </w:tc>
        <w:tc>
          <w:tcPr>
            <w:tcW w:w="1031"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江阴市澄江街道</w:t>
            </w:r>
          </w:p>
        </w:tc>
        <w:tc>
          <w:tcPr>
            <w:tcW w:w="1610"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东临京沪高速，西靠应天河，北临芙蓉大道</w:t>
            </w:r>
          </w:p>
        </w:tc>
        <w:tc>
          <w:tcPr>
            <w:tcW w:w="887"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38000</w:t>
            </w:r>
          </w:p>
        </w:tc>
        <w:tc>
          <w:tcPr>
            <w:tcW w:w="1156"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江阴市澄江投资有限公司</w:t>
            </w:r>
          </w:p>
        </w:tc>
        <w:tc>
          <w:tcPr>
            <w:tcW w:w="1004"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满足居住用地土壤环境质量要求</w:t>
            </w:r>
          </w:p>
        </w:tc>
        <w:tc>
          <w:tcPr>
            <w:tcW w:w="1177"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南京源恒环境研究所有限公司</w:t>
            </w:r>
          </w:p>
        </w:tc>
        <w:tc>
          <w:tcPr>
            <w:tcW w:w="977"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上海梵龄环境工程有限公司</w:t>
            </w:r>
          </w:p>
        </w:tc>
        <w:tc>
          <w:tcPr>
            <w:tcW w:w="1002"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江阴市澄江投资有限公司</w:t>
            </w:r>
          </w:p>
        </w:tc>
        <w:tc>
          <w:tcPr>
            <w:tcW w:w="1267"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江苏龙环环境科技有限公司</w:t>
            </w:r>
          </w:p>
        </w:tc>
        <w:tc>
          <w:tcPr>
            <w:tcW w:w="1323"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2021.7.13</w:t>
            </w:r>
          </w:p>
        </w:tc>
      </w:tr>
      <w:tr>
        <w:tblPrEx>
          <w:tblCellMar>
            <w:top w:w="0" w:type="dxa"/>
            <w:left w:w="108" w:type="dxa"/>
            <w:bottom w:w="0" w:type="dxa"/>
            <w:right w:w="108" w:type="dxa"/>
          </w:tblCellMar>
        </w:tblPrEx>
        <w:trPr>
          <w:cantSplit/>
          <w:trHeight w:val="1057" w:hRule="atLeast"/>
        </w:trPr>
        <w:tc>
          <w:tcPr>
            <w:tcW w:w="742" w:type="dxa"/>
            <w:tcBorders>
              <w:top w:val="nil"/>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2</w:t>
            </w:r>
          </w:p>
        </w:tc>
        <w:tc>
          <w:tcPr>
            <w:tcW w:w="1026"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原江苏中丹集团股份有限公司地块</w:t>
            </w:r>
          </w:p>
        </w:tc>
        <w:tc>
          <w:tcPr>
            <w:tcW w:w="735"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泰州</w:t>
            </w:r>
          </w:p>
        </w:tc>
        <w:tc>
          <w:tcPr>
            <w:tcW w:w="1031"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泰兴市虹桥镇八圩村</w:t>
            </w:r>
          </w:p>
        </w:tc>
        <w:tc>
          <w:tcPr>
            <w:tcW w:w="1610"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东临疏港路，西至七圩港，南靠长江江堤，北接珊七线</w:t>
            </w:r>
          </w:p>
        </w:tc>
        <w:tc>
          <w:tcPr>
            <w:tcW w:w="887"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118600</w:t>
            </w:r>
          </w:p>
        </w:tc>
        <w:tc>
          <w:tcPr>
            <w:tcW w:w="1156"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泰兴市虹桥园工业开发有限公司</w:t>
            </w:r>
          </w:p>
        </w:tc>
        <w:tc>
          <w:tcPr>
            <w:tcW w:w="1004"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满足仓储用地土壤质量要求</w:t>
            </w:r>
          </w:p>
        </w:tc>
        <w:tc>
          <w:tcPr>
            <w:tcW w:w="1177"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南京大学环境规划设计研究院集团股份公司</w:t>
            </w:r>
          </w:p>
        </w:tc>
        <w:tc>
          <w:tcPr>
            <w:tcW w:w="977"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永清环保股份有限公司</w:t>
            </w:r>
          </w:p>
        </w:tc>
        <w:tc>
          <w:tcPr>
            <w:tcW w:w="1002"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泰兴市虹桥园工业开发有限公司</w:t>
            </w:r>
          </w:p>
        </w:tc>
        <w:tc>
          <w:tcPr>
            <w:tcW w:w="1267"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江苏省苏力环境科技有限责任公司</w:t>
            </w:r>
          </w:p>
        </w:tc>
        <w:tc>
          <w:tcPr>
            <w:tcW w:w="1323"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2021.12.8</w:t>
            </w:r>
          </w:p>
        </w:tc>
      </w:tr>
      <w:tr>
        <w:tblPrEx>
          <w:tblCellMar>
            <w:top w:w="0" w:type="dxa"/>
            <w:left w:w="108" w:type="dxa"/>
            <w:bottom w:w="0" w:type="dxa"/>
            <w:right w:w="108" w:type="dxa"/>
          </w:tblCellMar>
        </w:tblPrEx>
        <w:trPr>
          <w:cantSplit/>
          <w:trHeight w:val="1319" w:hRule="atLeast"/>
        </w:trPr>
        <w:tc>
          <w:tcPr>
            <w:tcW w:w="742" w:type="dxa"/>
            <w:tcBorders>
              <w:top w:val="nil"/>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3</w:t>
            </w:r>
          </w:p>
        </w:tc>
        <w:tc>
          <w:tcPr>
            <w:tcW w:w="1026"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毓恒码头地块一</w:t>
            </w:r>
          </w:p>
        </w:tc>
        <w:tc>
          <w:tcPr>
            <w:tcW w:w="735"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南京</w:t>
            </w:r>
          </w:p>
        </w:tc>
        <w:tc>
          <w:tcPr>
            <w:tcW w:w="1031"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南京市栖霞区和燕路 560 号</w:t>
            </w:r>
          </w:p>
        </w:tc>
        <w:tc>
          <w:tcPr>
            <w:tcW w:w="1610"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东起北十里长沟西支，南至临江路，西至燕子矶老镇，北至长江堤防</w:t>
            </w:r>
          </w:p>
        </w:tc>
        <w:tc>
          <w:tcPr>
            <w:tcW w:w="887"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8700</w:t>
            </w:r>
          </w:p>
        </w:tc>
        <w:tc>
          <w:tcPr>
            <w:tcW w:w="1156"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南京市燕子矶片区整治开发有限责任公司</w:t>
            </w:r>
          </w:p>
        </w:tc>
        <w:tc>
          <w:tcPr>
            <w:tcW w:w="1004"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满足居住用地土壤环境质量要求</w:t>
            </w:r>
          </w:p>
        </w:tc>
        <w:tc>
          <w:tcPr>
            <w:tcW w:w="1177"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生态环境部南京环境科学研究所</w:t>
            </w:r>
          </w:p>
        </w:tc>
        <w:tc>
          <w:tcPr>
            <w:tcW w:w="977"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江苏大地益源环境修复有限公司</w:t>
            </w:r>
          </w:p>
        </w:tc>
        <w:tc>
          <w:tcPr>
            <w:tcW w:w="1002"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南京市燕子矶片区整治开发有限责任公司</w:t>
            </w:r>
          </w:p>
        </w:tc>
        <w:tc>
          <w:tcPr>
            <w:tcW w:w="1267"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江苏省环境科学研究院</w:t>
            </w:r>
          </w:p>
        </w:tc>
        <w:tc>
          <w:tcPr>
            <w:tcW w:w="1323"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2021.12.31</w:t>
            </w:r>
          </w:p>
        </w:tc>
      </w:tr>
      <w:tr>
        <w:tblPrEx>
          <w:tblCellMar>
            <w:top w:w="0" w:type="dxa"/>
            <w:left w:w="108" w:type="dxa"/>
            <w:bottom w:w="0" w:type="dxa"/>
            <w:right w:w="108" w:type="dxa"/>
          </w:tblCellMar>
        </w:tblPrEx>
        <w:trPr>
          <w:cantSplit/>
          <w:trHeight w:val="1319" w:hRule="atLeast"/>
        </w:trPr>
        <w:tc>
          <w:tcPr>
            <w:tcW w:w="742" w:type="dxa"/>
            <w:tcBorders>
              <w:top w:val="nil"/>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4</w:t>
            </w:r>
          </w:p>
        </w:tc>
        <w:tc>
          <w:tcPr>
            <w:tcW w:w="1026"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毓恒码头地块二</w:t>
            </w:r>
          </w:p>
        </w:tc>
        <w:tc>
          <w:tcPr>
            <w:tcW w:w="735"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南京</w:t>
            </w:r>
          </w:p>
        </w:tc>
        <w:tc>
          <w:tcPr>
            <w:tcW w:w="1031"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南京市栖霞区和燕路 560 号</w:t>
            </w:r>
          </w:p>
        </w:tc>
        <w:tc>
          <w:tcPr>
            <w:tcW w:w="1610"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东起北十里长沟西支，南至新燕路，西至临江路，北至临江路</w:t>
            </w:r>
          </w:p>
        </w:tc>
        <w:tc>
          <w:tcPr>
            <w:tcW w:w="887"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8300</w:t>
            </w:r>
          </w:p>
        </w:tc>
        <w:tc>
          <w:tcPr>
            <w:tcW w:w="1156"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南京市燕子矶片区整治开发有限责任公司</w:t>
            </w:r>
          </w:p>
        </w:tc>
        <w:tc>
          <w:tcPr>
            <w:tcW w:w="1004"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满足居住用地土壤环境质量要求</w:t>
            </w:r>
          </w:p>
        </w:tc>
        <w:tc>
          <w:tcPr>
            <w:tcW w:w="1177"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生态环境部南京环境科学研究所</w:t>
            </w:r>
          </w:p>
        </w:tc>
        <w:tc>
          <w:tcPr>
            <w:tcW w:w="977"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江苏大地益源环境修复有限公司</w:t>
            </w:r>
          </w:p>
        </w:tc>
        <w:tc>
          <w:tcPr>
            <w:tcW w:w="1002"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南京市燕子矶片区整治开发有限责任公司</w:t>
            </w:r>
          </w:p>
        </w:tc>
        <w:tc>
          <w:tcPr>
            <w:tcW w:w="1267"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江苏省环境科学研究院</w:t>
            </w:r>
          </w:p>
        </w:tc>
        <w:tc>
          <w:tcPr>
            <w:tcW w:w="1323"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2021.12.31</w:t>
            </w:r>
          </w:p>
        </w:tc>
      </w:tr>
      <w:tr>
        <w:tblPrEx>
          <w:tblCellMar>
            <w:top w:w="0" w:type="dxa"/>
            <w:left w:w="108" w:type="dxa"/>
            <w:bottom w:w="0" w:type="dxa"/>
            <w:right w:w="108" w:type="dxa"/>
          </w:tblCellMar>
        </w:tblPrEx>
        <w:trPr>
          <w:cantSplit/>
          <w:trHeight w:val="1702" w:hRule="atLeast"/>
        </w:trPr>
        <w:tc>
          <w:tcPr>
            <w:tcW w:w="742" w:type="dxa"/>
            <w:tcBorders>
              <w:top w:val="nil"/>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5</w:t>
            </w:r>
          </w:p>
        </w:tc>
        <w:tc>
          <w:tcPr>
            <w:tcW w:w="1026"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原南通醋酸化工（南）地块</w:t>
            </w:r>
          </w:p>
        </w:tc>
        <w:tc>
          <w:tcPr>
            <w:tcW w:w="735"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南通</w:t>
            </w:r>
          </w:p>
        </w:tc>
        <w:tc>
          <w:tcPr>
            <w:tcW w:w="1031"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南通市崇川区南市街101号</w:t>
            </w:r>
          </w:p>
        </w:tc>
        <w:tc>
          <w:tcPr>
            <w:tcW w:w="1610"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东侧紧邻城闸路和通扬河，西侧紧邻闸南村，南侧紧邻居民小区，北侧紧邻永兴大道</w:t>
            </w:r>
          </w:p>
        </w:tc>
        <w:tc>
          <w:tcPr>
            <w:tcW w:w="887"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84300</w:t>
            </w:r>
          </w:p>
        </w:tc>
        <w:tc>
          <w:tcPr>
            <w:tcW w:w="1156"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南通产业控股集团有限公司</w:t>
            </w:r>
          </w:p>
        </w:tc>
        <w:tc>
          <w:tcPr>
            <w:tcW w:w="1004"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满足居住用地、公用设施用地、交通运输用地土壤环境质量要求</w:t>
            </w:r>
          </w:p>
        </w:tc>
        <w:tc>
          <w:tcPr>
            <w:tcW w:w="1177"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生态环境部南京环境科学研究所</w:t>
            </w:r>
          </w:p>
        </w:tc>
        <w:tc>
          <w:tcPr>
            <w:tcW w:w="977"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北京建工环境修复股份有限公司</w:t>
            </w:r>
          </w:p>
        </w:tc>
        <w:tc>
          <w:tcPr>
            <w:tcW w:w="1002"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南通产业控股集团有限公司</w:t>
            </w:r>
          </w:p>
        </w:tc>
        <w:tc>
          <w:tcPr>
            <w:tcW w:w="1267"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江苏环保产业技术研究院股份公司</w:t>
            </w:r>
          </w:p>
        </w:tc>
        <w:tc>
          <w:tcPr>
            <w:tcW w:w="1323"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2021.11.4</w:t>
            </w:r>
          </w:p>
        </w:tc>
      </w:tr>
      <w:tr>
        <w:tblPrEx>
          <w:tblCellMar>
            <w:top w:w="0" w:type="dxa"/>
            <w:left w:w="108" w:type="dxa"/>
            <w:bottom w:w="0" w:type="dxa"/>
            <w:right w:w="108" w:type="dxa"/>
          </w:tblCellMar>
        </w:tblPrEx>
        <w:trPr>
          <w:cantSplit/>
          <w:trHeight w:val="1944" w:hRule="atLeast"/>
        </w:trPr>
        <w:tc>
          <w:tcPr>
            <w:tcW w:w="742" w:type="dxa"/>
            <w:tcBorders>
              <w:top w:val="nil"/>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6</w:t>
            </w:r>
          </w:p>
        </w:tc>
        <w:tc>
          <w:tcPr>
            <w:tcW w:w="1026"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泰山路以南、环城东路以东地块（原南京六合煤矿机械有限责任公司）</w:t>
            </w:r>
          </w:p>
        </w:tc>
        <w:tc>
          <w:tcPr>
            <w:tcW w:w="735"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南京</w:t>
            </w:r>
          </w:p>
        </w:tc>
        <w:tc>
          <w:tcPr>
            <w:tcW w:w="1031"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南京市六合区雄州街道泰山路124号</w:t>
            </w:r>
          </w:p>
        </w:tc>
        <w:tc>
          <w:tcPr>
            <w:tcW w:w="1610"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东至白果路，西侧为环城公路，北至泰山路，南至滁河</w:t>
            </w:r>
          </w:p>
        </w:tc>
        <w:tc>
          <w:tcPr>
            <w:tcW w:w="887"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53000</w:t>
            </w:r>
          </w:p>
        </w:tc>
        <w:tc>
          <w:tcPr>
            <w:tcW w:w="1156"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南京市六合区土地储备中心</w:t>
            </w:r>
          </w:p>
        </w:tc>
        <w:tc>
          <w:tcPr>
            <w:tcW w:w="1004"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满足居住用地土壤环境质量要求</w:t>
            </w:r>
          </w:p>
        </w:tc>
        <w:tc>
          <w:tcPr>
            <w:tcW w:w="1177"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江苏港峰环境科技有限公司</w:t>
            </w:r>
          </w:p>
        </w:tc>
        <w:tc>
          <w:tcPr>
            <w:tcW w:w="977"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永清环保股份有限公司、溧阳中材环保有限公司</w:t>
            </w:r>
          </w:p>
        </w:tc>
        <w:tc>
          <w:tcPr>
            <w:tcW w:w="1002"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南京市六合区土地储备中心</w:t>
            </w:r>
          </w:p>
        </w:tc>
        <w:tc>
          <w:tcPr>
            <w:tcW w:w="1267"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生态环境部南京环境科学研究所</w:t>
            </w:r>
          </w:p>
        </w:tc>
        <w:tc>
          <w:tcPr>
            <w:tcW w:w="1323"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2021.11.15</w:t>
            </w:r>
          </w:p>
        </w:tc>
      </w:tr>
      <w:tr>
        <w:tblPrEx>
          <w:tblCellMar>
            <w:top w:w="0" w:type="dxa"/>
            <w:left w:w="108" w:type="dxa"/>
            <w:bottom w:w="0" w:type="dxa"/>
            <w:right w:w="108" w:type="dxa"/>
          </w:tblCellMar>
        </w:tblPrEx>
        <w:trPr>
          <w:cantSplit/>
          <w:trHeight w:val="1460" w:hRule="atLeast"/>
        </w:trPr>
        <w:tc>
          <w:tcPr>
            <w:tcW w:w="742" w:type="dxa"/>
            <w:tcBorders>
              <w:top w:val="nil"/>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7</w:t>
            </w:r>
          </w:p>
        </w:tc>
        <w:tc>
          <w:tcPr>
            <w:tcW w:w="1026"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原南通长江镍矿精选有限公司地块</w:t>
            </w:r>
          </w:p>
        </w:tc>
        <w:tc>
          <w:tcPr>
            <w:tcW w:w="735"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南通</w:t>
            </w:r>
          </w:p>
        </w:tc>
        <w:tc>
          <w:tcPr>
            <w:tcW w:w="1031"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如皋市长江镇长青沙静海路18号（港区物流园）</w:t>
            </w:r>
          </w:p>
        </w:tc>
        <w:tc>
          <w:tcPr>
            <w:tcW w:w="1610"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东界远洋路，南界静海路，西界青年港，北界望海路</w:t>
            </w:r>
          </w:p>
        </w:tc>
        <w:tc>
          <w:tcPr>
            <w:tcW w:w="887"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207751</w:t>
            </w:r>
          </w:p>
        </w:tc>
        <w:tc>
          <w:tcPr>
            <w:tcW w:w="1156"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如皋长盛码头有限公司</w:t>
            </w:r>
          </w:p>
        </w:tc>
        <w:tc>
          <w:tcPr>
            <w:tcW w:w="1004"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满足仓储用地土壤质量要求</w:t>
            </w:r>
          </w:p>
        </w:tc>
        <w:tc>
          <w:tcPr>
            <w:tcW w:w="1177"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南京索益盟环保科技有限公司</w:t>
            </w:r>
          </w:p>
        </w:tc>
        <w:tc>
          <w:tcPr>
            <w:tcW w:w="977"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南京索益盟环保科技有限公司</w:t>
            </w:r>
          </w:p>
        </w:tc>
        <w:tc>
          <w:tcPr>
            <w:tcW w:w="1002"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如皋长盛码头有限公司</w:t>
            </w:r>
          </w:p>
        </w:tc>
        <w:tc>
          <w:tcPr>
            <w:tcW w:w="1267"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江苏伟恒土壤治理科技有限公司</w:t>
            </w:r>
          </w:p>
        </w:tc>
        <w:tc>
          <w:tcPr>
            <w:tcW w:w="1323"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2022.1.11</w:t>
            </w:r>
          </w:p>
        </w:tc>
      </w:tr>
      <w:tr>
        <w:tblPrEx>
          <w:tblCellMar>
            <w:top w:w="0" w:type="dxa"/>
            <w:left w:w="108" w:type="dxa"/>
            <w:bottom w:w="0" w:type="dxa"/>
            <w:right w:w="108" w:type="dxa"/>
          </w:tblCellMar>
        </w:tblPrEx>
        <w:trPr>
          <w:cantSplit/>
          <w:trHeight w:val="1057" w:hRule="atLeast"/>
        </w:trPr>
        <w:tc>
          <w:tcPr>
            <w:tcW w:w="742" w:type="dxa"/>
            <w:tcBorders>
              <w:top w:val="nil"/>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8</w:t>
            </w:r>
          </w:p>
        </w:tc>
        <w:tc>
          <w:tcPr>
            <w:tcW w:w="1026"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原南京通达合金材料有限公司地块</w:t>
            </w:r>
          </w:p>
        </w:tc>
        <w:tc>
          <w:tcPr>
            <w:tcW w:w="735"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南京</w:t>
            </w:r>
          </w:p>
        </w:tc>
        <w:tc>
          <w:tcPr>
            <w:tcW w:w="1031"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南京市鼓楼区窑上村146 号</w:t>
            </w:r>
          </w:p>
        </w:tc>
        <w:tc>
          <w:tcPr>
            <w:tcW w:w="1610"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东至劳山路，西侧为部队用地，北至劳山水库，南至未知名荒地</w:t>
            </w:r>
          </w:p>
        </w:tc>
        <w:tc>
          <w:tcPr>
            <w:tcW w:w="887"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18600</w:t>
            </w:r>
          </w:p>
        </w:tc>
        <w:tc>
          <w:tcPr>
            <w:tcW w:w="1156"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南京幕府创新小镇开发有限公司</w:t>
            </w:r>
          </w:p>
        </w:tc>
        <w:tc>
          <w:tcPr>
            <w:tcW w:w="1004"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满足居住用地土壤环境质量要求</w:t>
            </w:r>
          </w:p>
        </w:tc>
        <w:tc>
          <w:tcPr>
            <w:tcW w:w="1177"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中国建筑第八工程局有限公司</w:t>
            </w:r>
          </w:p>
        </w:tc>
        <w:tc>
          <w:tcPr>
            <w:tcW w:w="977"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中国建筑第八工程局有限公司</w:t>
            </w:r>
          </w:p>
        </w:tc>
        <w:tc>
          <w:tcPr>
            <w:tcW w:w="1002"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南京中建鼓北城市发展有限公司</w:t>
            </w:r>
          </w:p>
        </w:tc>
        <w:tc>
          <w:tcPr>
            <w:tcW w:w="1267"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南京宁联环保科技有限公司</w:t>
            </w:r>
          </w:p>
        </w:tc>
        <w:tc>
          <w:tcPr>
            <w:tcW w:w="1323"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2021.12.23</w:t>
            </w:r>
          </w:p>
        </w:tc>
      </w:tr>
      <w:tr>
        <w:tblPrEx>
          <w:tblCellMar>
            <w:top w:w="0" w:type="dxa"/>
            <w:left w:w="108" w:type="dxa"/>
            <w:bottom w:w="0" w:type="dxa"/>
            <w:right w:w="108" w:type="dxa"/>
          </w:tblCellMar>
        </w:tblPrEx>
        <w:trPr>
          <w:cantSplit/>
          <w:trHeight w:val="1702" w:hRule="atLeast"/>
        </w:trPr>
        <w:tc>
          <w:tcPr>
            <w:tcW w:w="742" w:type="dxa"/>
            <w:tcBorders>
              <w:top w:val="nil"/>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9</w:t>
            </w:r>
          </w:p>
        </w:tc>
        <w:tc>
          <w:tcPr>
            <w:tcW w:w="1026"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南京中船绿洲机器有限公司板桥厂区地块</w:t>
            </w:r>
          </w:p>
        </w:tc>
        <w:tc>
          <w:tcPr>
            <w:tcW w:w="735"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南京</w:t>
            </w:r>
          </w:p>
        </w:tc>
        <w:tc>
          <w:tcPr>
            <w:tcW w:w="1031"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南京市雨花台区板桥镇</w:t>
            </w:r>
          </w:p>
        </w:tc>
        <w:tc>
          <w:tcPr>
            <w:tcW w:w="1610"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东至林地，南至菜地，西至新建公寓，北至绿洲新村</w:t>
            </w:r>
          </w:p>
        </w:tc>
        <w:tc>
          <w:tcPr>
            <w:tcW w:w="887"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350800</w:t>
            </w:r>
          </w:p>
        </w:tc>
        <w:tc>
          <w:tcPr>
            <w:tcW w:w="1156"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南京中船绿洲机器有限公司</w:t>
            </w:r>
          </w:p>
        </w:tc>
        <w:tc>
          <w:tcPr>
            <w:tcW w:w="1004"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满足居住用地、公共管理与公共服务用地等土壤环境质量要求</w:t>
            </w:r>
          </w:p>
        </w:tc>
        <w:tc>
          <w:tcPr>
            <w:tcW w:w="1177"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生态环境部南京环境科学研究所</w:t>
            </w:r>
          </w:p>
        </w:tc>
        <w:tc>
          <w:tcPr>
            <w:tcW w:w="977"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南京中船绿洲环保有限公司</w:t>
            </w:r>
          </w:p>
        </w:tc>
        <w:tc>
          <w:tcPr>
            <w:tcW w:w="1002"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南京中船绿洲机器有限公司</w:t>
            </w:r>
          </w:p>
        </w:tc>
        <w:tc>
          <w:tcPr>
            <w:tcW w:w="1267"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江苏省环境科学研究院</w:t>
            </w:r>
          </w:p>
        </w:tc>
        <w:tc>
          <w:tcPr>
            <w:tcW w:w="1323"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2021.12.31</w:t>
            </w:r>
          </w:p>
        </w:tc>
      </w:tr>
      <w:tr>
        <w:tblPrEx>
          <w:tblCellMar>
            <w:top w:w="0" w:type="dxa"/>
            <w:left w:w="108" w:type="dxa"/>
            <w:bottom w:w="0" w:type="dxa"/>
            <w:right w:w="108" w:type="dxa"/>
          </w:tblCellMar>
        </w:tblPrEx>
        <w:trPr>
          <w:cantSplit/>
          <w:trHeight w:val="1853" w:hRule="atLeast"/>
        </w:trPr>
        <w:tc>
          <w:tcPr>
            <w:tcW w:w="742" w:type="dxa"/>
            <w:tcBorders>
              <w:top w:val="nil"/>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10</w:t>
            </w:r>
          </w:p>
        </w:tc>
        <w:tc>
          <w:tcPr>
            <w:tcW w:w="1026"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color w:val="0D0D0D"/>
                <w:kern w:val="0"/>
                <w:sz w:val="18"/>
                <w:szCs w:val="18"/>
              </w:rPr>
            </w:pPr>
            <w:r>
              <w:rPr>
                <w:rFonts w:ascii="Times New Roman" w:hAnsi="Times New Roman" w:cs="Times New Roman"/>
                <w:color w:val="0D0D0D"/>
                <w:kern w:val="0"/>
                <w:sz w:val="18"/>
                <w:szCs w:val="18"/>
              </w:rPr>
              <w:t>原海门市电子元件引线厂退役地块</w:t>
            </w:r>
          </w:p>
        </w:tc>
        <w:tc>
          <w:tcPr>
            <w:tcW w:w="735"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南通</w:t>
            </w:r>
          </w:p>
        </w:tc>
        <w:tc>
          <w:tcPr>
            <w:tcW w:w="1031"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南通市海门高新经济技术产业园区</w:t>
            </w:r>
          </w:p>
        </w:tc>
        <w:tc>
          <w:tcPr>
            <w:tcW w:w="1610"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江海路以东，飞鹫路以北</w:t>
            </w:r>
          </w:p>
        </w:tc>
        <w:tc>
          <w:tcPr>
            <w:tcW w:w="887"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color w:val="auto"/>
                <w:kern w:val="0"/>
                <w:sz w:val="18"/>
                <w:szCs w:val="18"/>
              </w:rPr>
            </w:pPr>
            <w:r>
              <w:rPr>
                <w:rFonts w:ascii="Times New Roman" w:hAnsi="Times New Roman" w:cs="Times New Roman"/>
                <w:color w:val="auto"/>
                <w:kern w:val="0"/>
                <w:sz w:val="18"/>
                <w:szCs w:val="18"/>
              </w:rPr>
              <w:t>1428.91</w:t>
            </w:r>
          </w:p>
        </w:tc>
        <w:tc>
          <w:tcPr>
            <w:tcW w:w="1156"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color w:val="auto"/>
                <w:kern w:val="0"/>
                <w:sz w:val="18"/>
                <w:szCs w:val="18"/>
              </w:rPr>
            </w:pPr>
            <w:r>
              <w:rPr>
                <w:rFonts w:ascii="Times New Roman" w:hAnsi="Times New Roman" w:cs="Times New Roman"/>
                <w:color w:val="auto"/>
                <w:kern w:val="0"/>
                <w:sz w:val="18"/>
                <w:szCs w:val="18"/>
              </w:rPr>
              <w:t>南通市海门区人民政府海门街道办事处</w:t>
            </w:r>
          </w:p>
        </w:tc>
        <w:tc>
          <w:tcPr>
            <w:tcW w:w="1004"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满足居住用地、绿地与开敞空间用地土壤环境质量要求</w:t>
            </w:r>
          </w:p>
        </w:tc>
        <w:tc>
          <w:tcPr>
            <w:tcW w:w="1177"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江苏华东新能源勘探有限公司（江苏省有色金属华东地质勘查局八一三队）</w:t>
            </w:r>
          </w:p>
        </w:tc>
        <w:tc>
          <w:tcPr>
            <w:tcW w:w="977"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南通大恒环境有限公司</w:t>
            </w:r>
          </w:p>
        </w:tc>
        <w:tc>
          <w:tcPr>
            <w:tcW w:w="1002"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南通市海门区人民政府海门街道办事处</w:t>
            </w:r>
          </w:p>
        </w:tc>
        <w:tc>
          <w:tcPr>
            <w:tcW w:w="1267"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中国科学院南京土壤研究所</w:t>
            </w:r>
          </w:p>
        </w:tc>
        <w:tc>
          <w:tcPr>
            <w:tcW w:w="1323"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2022.1.25</w:t>
            </w:r>
          </w:p>
        </w:tc>
      </w:tr>
    </w:tbl>
    <w:p>
      <w:pPr>
        <w:rPr>
          <w:rFonts w:ascii="Times New Roman" w:hAnsi="Times New Roman" w:cs="Times New Roman"/>
          <w:color w:val="auto"/>
          <w:sz w:val="24"/>
        </w:rPr>
      </w:pPr>
      <w:r>
        <w:rPr>
          <w:rFonts w:ascii="Times New Roman" w:hAnsi="Times New Roman" w:cs="Times New Roman"/>
          <w:color w:val="auto"/>
          <w:sz w:val="24"/>
        </w:rPr>
        <w:t>环保举报电话：12369。</w:t>
      </w: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微软雅黑">
    <w:panose1 w:val="020B0503020204020204"/>
    <w:charset w:val="86"/>
    <w:family w:val="swiss"/>
    <w:pitch w:val="default"/>
    <w:sig w:usb0="80000287" w:usb1="2ACF3C50" w:usb2="00000016" w:usb3="00000000" w:csb0="0004001F" w:csb1="00000000"/>
  </w:font>
  <w:font w:name="方正黑体_GBK">
    <w:panose1 w:val="03000509000000000000"/>
    <w:charset w:val="86"/>
    <w:family w:val="script"/>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701245908"/>
      <w:docPartObj>
        <w:docPartGallery w:val="autotext"/>
      </w:docPartObj>
    </w:sdtPr>
    <w:sdtEndPr>
      <w:rPr>
        <w:rFonts w:ascii="Times New Roman" w:hAnsi="Times New Roman" w:cs="Times New Roman"/>
        <w:sz w:val="21"/>
        <w:szCs w:val="21"/>
      </w:rPr>
    </w:sdtEndPr>
    <w:sdtContent>
      <w:p>
        <w:pPr>
          <w:pStyle w:val="3"/>
          <w:jc w:val="center"/>
          <w:rPr>
            <w:rFonts w:ascii="Times New Roman" w:hAnsi="Times New Roman" w:cs="Times New Roman"/>
            <w:sz w:val="21"/>
            <w:szCs w:val="21"/>
          </w:rPr>
        </w:pPr>
        <w:r>
          <w:rPr>
            <w:rFonts w:ascii="Times New Roman" w:hAnsi="Times New Roman" w:cs="Times New Roman"/>
            <w:sz w:val="21"/>
            <w:szCs w:val="21"/>
          </w:rPr>
          <w:fldChar w:fldCharType="begin"/>
        </w:r>
        <w:r>
          <w:rPr>
            <w:rFonts w:ascii="Times New Roman" w:hAnsi="Times New Roman" w:cs="Times New Roman"/>
            <w:sz w:val="21"/>
            <w:szCs w:val="21"/>
          </w:rPr>
          <w:instrText xml:space="preserve">PAGE   \* MERGEFORMAT</w:instrText>
        </w:r>
        <w:r>
          <w:rPr>
            <w:rFonts w:ascii="Times New Roman" w:hAnsi="Times New Roman" w:cs="Times New Roman"/>
            <w:sz w:val="21"/>
            <w:szCs w:val="21"/>
          </w:rPr>
          <w:fldChar w:fldCharType="separate"/>
        </w:r>
        <w:r>
          <w:rPr>
            <w:rFonts w:ascii="Times New Roman" w:hAnsi="Times New Roman" w:cs="Times New Roman"/>
            <w:sz w:val="21"/>
            <w:szCs w:val="21"/>
            <w:lang w:val="zh-CN"/>
          </w:rPr>
          <w:t>2</w:t>
        </w:r>
        <w:r>
          <w:rPr>
            <w:rFonts w:ascii="Times New Roman" w:hAnsi="Times New Roman" w:cs="Times New Roman"/>
            <w:sz w:val="21"/>
            <w:szCs w:val="21"/>
          </w:rPr>
          <w:fldChar w:fldCharType="end"/>
        </w:r>
      </w:p>
    </w:sdtContent>
  </w:sdt>
  <w:p>
    <w:pPr>
      <w:pStyle w:val="3"/>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useNormalStyleForList/>
    <w:doNotUseIndentAsNumberingTabStop/>
    <w:allowSpaceOfSameStyleInTable/>
    <w:doNotSuppressIndentation/>
    <w:doNotAutofitConstrainedTables/>
    <w:autofitToFirstFixedWidthCell/>
    <w:displayHangulFixedWidth/>
    <w:doNotVertAlignCellWithSp/>
    <w:doNotBreakConstrainedForcedTable/>
    <w:doNotVertAlignInTxbx/>
    <w:useAnsiKerningPairs/>
    <w:cachedColBalance/>
    <w:compatSetting w:name="compatibilityMode" w:uri="http://schemas.microsoft.com/office/word" w:val="12"/>
  </w:compat>
  <w:rsids>
    <w:rsidRoot w:val="00947464"/>
    <w:rsid w:val="000177EB"/>
    <w:rsid w:val="000254EE"/>
    <w:rsid w:val="00061E82"/>
    <w:rsid w:val="000E2FD0"/>
    <w:rsid w:val="000E335E"/>
    <w:rsid w:val="000E6CBD"/>
    <w:rsid w:val="00180F84"/>
    <w:rsid w:val="001B1C52"/>
    <w:rsid w:val="00206375"/>
    <w:rsid w:val="002633A3"/>
    <w:rsid w:val="00280425"/>
    <w:rsid w:val="00284109"/>
    <w:rsid w:val="002D46AC"/>
    <w:rsid w:val="002D6DDC"/>
    <w:rsid w:val="002E5E01"/>
    <w:rsid w:val="002F57C6"/>
    <w:rsid w:val="00322C99"/>
    <w:rsid w:val="0033278F"/>
    <w:rsid w:val="00377357"/>
    <w:rsid w:val="0038208D"/>
    <w:rsid w:val="00397A44"/>
    <w:rsid w:val="003B37BE"/>
    <w:rsid w:val="003F064A"/>
    <w:rsid w:val="004E2991"/>
    <w:rsid w:val="00513D04"/>
    <w:rsid w:val="005C2C6F"/>
    <w:rsid w:val="00660D84"/>
    <w:rsid w:val="006617BB"/>
    <w:rsid w:val="006C0EA0"/>
    <w:rsid w:val="006C547F"/>
    <w:rsid w:val="006D3AC6"/>
    <w:rsid w:val="007939BA"/>
    <w:rsid w:val="00865CBA"/>
    <w:rsid w:val="0087663A"/>
    <w:rsid w:val="008D4AC5"/>
    <w:rsid w:val="008E3853"/>
    <w:rsid w:val="00923511"/>
    <w:rsid w:val="009372F5"/>
    <w:rsid w:val="00943EC1"/>
    <w:rsid w:val="00947464"/>
    <w:rsid w:val="00977AA2"/>
    <w:rsid w:val="00994FF6"/>
    <w:rsid w:val="009A2DC8"/>
    <w:rsid w:val="009B5AB4"/>
    <w:rsid w:val="009D4E42"/>
    <w:rsid w:val="009F1963"/>
    <w:rsid w:val="009F3A6D"/>
    <w:rsid w:val="00A1114C"/>
    <w:rsid w:val="00A24DF9"/>
    <w:rsid w:val="00A828CF"/>
    <w:rsid w:val="00AD0439"/>
    <w:rsid w:val="00B139E3"/>
    <w:rsid w:val="00B170B5"/>
    <w:rsid w:val="00B37402"/>
    <w:rsid w:val="00B5605E"/>
    <w:rsid w:val="00B61795"/>
    <w:rsid w:val="00B937DD"/>
    <w:rsid w:val="00B9525A"/>
    <w:rsid w:val="00C146DA"/>
    <w:rsid w:val="00C376EC"/>
    <w:rsid w:val="00C514AD"/>
    <w:rsid w:val="00D14FB4"/>
    <w:rsid w:val="00D86633"/>
    <w:rsid w:val="00DB48D7"/>
    <w:rsid w:val="00DE448A"/>
    <w:rsid w:val="00E22063"/>
    <w:rsid w:val="00E402A1"/>
    <w:rsid w:val="00E42C23"/>
    <w:rsid w:val="00E45E23"/>
    <w:rsid w:val="00E543E8"/>
    <w:rsid w:val="00E72DC1"/>
    <w:rsid w:val="00E90890"/>
    <w:rsid w:val="00EB4B43"/>
    <w:rsid w:val="00EF0E92"/>
    <w:rsid w:val="00F20693"/>
    <w:rsid w:val="00F30285"/>
    <w:rsid w:val="00F74534"/>
    <w:rsid w:val="09025AF7"/>
    <w:rsid w:val="0E8E38DB"/>
    <w:rsid w:val="12015E8C"/>
    <w:rsid w:val="157D0CDF"/>
    <w:rsid w:val="1CD60881"/>
    <w:rsid w:val="26211FFE"/>
    <w:rsid w:val="2F012479"/>
    <w:rsid w:val="321C5B7E"/>
    <w:rsid w:val="36977D9B"/>
    <w:rsid w:val="3B5C61DE"/>
    <w:rsid w:val="3B692C05"/>
    <w:rsid w:val="3D3D57D0"/>
    <w:rsid w:val="3DDF0DB3"/>
    <w:rsid w:val="454A1CB9"/>
    <w:rsid w:val="52EC797A"/>
    <w:rsid w:val="54CD1012"/>
    <w:rsid w:val="55975ECB"/>
    <w:rsid w:val="56A8574D"/>
    <w:rsid w:val="56DA211D"/>
    <w:rsid w:val="577E0B7F"/>
    <w:rsid w:val="57CD411B"/>
    <w:rsid w:val="5CF03E61"/>
    <w:rsid w:val="5FB90F57"/>
    <w:rsid w:val="66BD23B2"/>
    <w:rsid w:val="68C85D67"/>
    <w:rsid w:val="6EF95A2D"/>
    <w:rsid w:val="6FC37288"/>
    <w:rsid w:val="71C42726"/>
    <w:rsid w:val="7AF4536E"/>
    <w:rsid w:val="7B84361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qFormat="1" w:uiPriority="1"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qFormat="1" w:uiPriority="99" w:semiHidden="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qFormat="1" w:uiPriority="99" w:semiHidden="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uiPriority="59"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paragraph" w:styleId="2">
    <w:name w:val="heading 3"/>
    <w:basedOn w:val="1"/>
    <w:next w:val="1"/>
    <w:link w:val="9"/>
    <w:qFormat/>
    <w:uiPriority w:val="9"/>
    <w:pPr>
      <w:widowControl/>
      <w:spacing w:before="100" w:beforeAutospacing="1" w:after="100" w:afterAutospacing="1"/>
      <w:jc w:val="left"/>
      <w:outlineLvl w:val="2"/>
    </w:pPr>
    <w:rPr>
      <w:rFonts w:ascii="宋体" w:hAnsi="宋体" w:cs="宋体"/>
      <w:b/>
      <w:bCs/>
      <w:kern w:val="0"/>
      <w:sz w:val="27"/>
      <w:szCs w:val="27"/>
    </w:rPr>
  </w:style>
  <w:style w:type="character" w:default="1" w:styleId="7">
    <w:name w:val="Default Paragraph Font"/>
    <w:semiHidden/>
    <w:unhideWhenUsed/>
    <w:qFormat/>
    <w:uiPriority w:val="1"/>
  </w:style>
  <w:style w:type="table" w:default="1" w:styleId="6">
    <w:name w:val="Normal Table"/>
    <w:semiHidden/>
    <w:unhideWhenUsed/>
    <w:uiPriority w:val="99"/>
    <w:tblPr>
      <w:tblCellMar>
        <w:top w:w="0" w:type="dxa"/>
        <w:left w:w="108" w:type="dxa"/>
        <w:bottom w:w="0" w:type="dxa"/>
        <w:right w:w="108" w:type="dxa"/>
      </w:tblCellMar>
    </w:tblPr>
  </w:style>
  <w:style w:type="paragraph" w:styleId="3">
    <w:name w:val="footer"/>
    <w:basedOn w:val="1"/>
    <w:link w:val="14"/>
    <w:unhideWhenUsed/>
    <w:qFormat/>
    <w:uiPriority w:val="99"/>
    <w:pPr>
      <w:tabs>
        <w:tab w:val="center" w:pos="4153"/>
        <w:tab w:val="right" w:pos="8306"/>
      </w:tabs>
      <w:snapToGrid w:val="0"/>
      <w:jc w:val="left"/>
    </w:pPr>
    <w:rPr>
      <w:sz w:val="18"/>
      <w:szCs w:val="18"/>
    </w:rPr>
  </w:style>
  <w:style w:type="paragraph" w:styleId="4">
    <w:name w:val="header"/>
    <w:basedOn w:val="1"/>
    <w:link w:val="13"/>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Normal (Web)"/>
    <w:basedOn w:val="1"/>
    <w:unhideWhenUsed/>
    <w:qFormat/>
    <w:uiPriority w:val="99"/>
    <w:pPr>
      <w:widowControl/>
      <w:spacing w:before="100" w:beforeAutospacing="1" w:after="100" w:afterAutospacing="1"/>
      <w:jc w:val="left"/>
    </w:pPr>
    <w:rPr>
      <w:rFonts w:ascii="宋体" w:hAnsi="宋体" w:cs="宋体"/>
      <w:kern w:val="0"/>
      <w:sz w:val="24"/>
      <w:szCs w:val="24"/>
    </w:rPr>
  </w:style>
  <w:style w:type="character" w:styleId="8">
    <w:name w:val="Hyperlink"/>
    <w:basedOn w:val="7"/>
    <w:unhideWhenUsed/>
    <w:qFormat/>
    <w:uiPriority w:val="99"/>
    <w:rPr>
      <w:color w:val="0000FF"/>
      <w:u w:val="single"/>
    </w:rPr>
  </w:style>
  <w:style w:type="character" w:customStyle="1" w:styleId="9">
    <w:name w:val="标题 3 字符"/>
    <w:basedOn w:val="7"/>
    <w:link w:val="2"/>
    <w:qFormat/>
    <w:uiPriority w:val="9"/>
    <w:rPr>
      <w:rFonts w:ascii="宋体" w:hAnsi="宋体" w:eastAsia="宋体" w:cs="宋体"/>
      <w:b/>
      <w:bCs/>
      <w:kern w:val="0"/>
      <w:sz w:val="27"/>
      <w:szCs w:val="27"/>
    </w:rPr>
  </w:style>
  <w:style w:type="character" w:customStyle="1" w:styleId="10">
    <w:name w:val="time"/>
    <w:basedOn w:val="7"/>
    <w:qFormat/>
    <w:uiPriority w:val="0"/>
  </w:style>
  <w:style w:type="character" w:customStyle="1" w:styleId="11">
    <w:name w:val="apple-converted-space"/>
    <w:basedOn w:val="7"/>
    <w:qFormat/>
    <w:uiPriority w:val="0"/>
  </w:style>
  <w:style w:type="character" w:customStyle="1" w:styleId="12">
    <w:name w:val="sizes"/>
    <w:basedOn w:val="7"/>
    <w:qFormat/>
    <w:uiPriority w:val="0"/>
  </w:style>
  <w:style w:type="character" w:customStyle="1" w:styleId="13">
    <w:name w:val="页眉 字符"/>
    <w:basedOn w:val="7"/>
    <w:link w:val="4"/>
    <w:qFormat/>
    <w:uiPriority w:val="99"/>
    <w:rPr>
      <w:sz w:val="18"/>
      <w:szCs w:val="18"/>
    </w:rPr>
  </w:style>
  <w:style w:type="character" w:customStyle="1" w:styleId="14">
    <w:name w:val="页脚 字符"/>
    <w:basedOn w:val="7"/>
    <w:link w:val="3"/>
    <w:qFormat/>
    <w:uiPriority w:val="99"/>
    <w:rPr>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DB3EE4A4-3DD0-43AC-B9FB-D96A827F5B30}">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1</Pages>
  <Words>748</Words>
  <Characters>4269</Characters>
  <Lines>35</Lines>
  <Paragraphs>10</Paragraphs>
  <TotalTime>6</TotalTime>
  <ScaleCrop>false</ScaleCrop>
  <LinksUpToDate>false</LinksUpToDate>
  <CharactersWithSpaces>5007</CharactersWithSpaces>
  <Application>WPS Office_11.1.0.11365_F1E327BC-269C-435d-A152-05C5408002CA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2020-08-05T06:40:00Z</dcterms:created>
  <dc:creator>正版用户</dc:creator>
  <cp:lastModifiedBy>LY</cp:lastModifiedBy>
  <cp:lastPrinted>2021-07-12T01:56:00Z</cp:lastPrinted>
  <dcterms:modified xsi:type="dcterms:W3CDTF">2022-03-14T06:44:13Z</dcterms:modified>
  <dc:title>省生态环境厅 省自然资源厅</dc:title>
  <cp:revision>39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2052-11.1.0.11365</vt:lpwstr>
  </property>
  <property fmtid="{D5CDD505-2E9C-101B-9397-08002B2CF9AE}" pid="3" name="ICV">
    <vt:lpwstr>AE1B013CF706404CB3117009CF9D6697</vt:lpwstr>
  </property>
</Properties>
</file>