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20" w:lineRule="atLeast"/>
        <w:ind w:right="465"/>
        <w:jc w:val="left"/>
        <w:rPr>
          <w:rFonts w:ascii="Times New Roman" w:hAnsi="Times New Roman" w:eastAsia="黑体" w:cs="Times New Roman"/>
          <w:color w:val="0D0D0D"/>
          <w:kern w:val="0"/>
          <w:sz w:val="28"/>
          <w:szCs w:val="32"/>
        </w:rPr>
      </w:pPr>
    </w:p>
    <w:p>
      <w:pPr>
        <w:spacing w:line="580" w:lineRule="exact"/>
        <w:jc w:val="center"/>
        <w:rPr>
          <w:rFonts w:ascii="Times New Roman" w:hAnsi="Times New Roman" w:eastAsia="方正小标宋_GBK" w:cs="Times New Roman"/>
          <w:color w:val="000000"/>
          <w:sz w:val="44"/>
          <w:szCs w:val="44"/>
        </w:rPr>
      </w:pPr>
    </w:p>
    <w:p>
      <w:pPr>
        <w:widowControl/>
        <w:spacing w:line="420" w:lineRule="atLeast"/>
        <w:ind w:right="465"/>
        <w:jc w:val="left"/>
        <w:rPr>
          <w:rFonts w:ascii="Times New Roman" w:hAnsi="Times New Roman" w:eastAsia="黑体" w:cs="Times New Roman"/>
          <w:color w:val="0D0D0D"/>
          <w:kern w:val="0"/>
          <w:sz w:val="28"/>
          <w:szCs w:val="32"/>
        </w:rPr>
      </w:pPr>
    </w:p>
    <w:p>
      <w:pPr>
        <w:spacing w:line="580" w:lineRule="exact"/>
        <w:jc w:val="center"/>
        <w:rPr>
          <w:rFonts w:ascii="Times New Roman" w:hAnsi="Times New Roman" w:eastAsia="方正小标宋_GBK" w:cs="Times New Roman"/>
          <w:color w:val="000000"/>
          <w:sz w:val="44"/>
          <w:szCs w:val="44"/>
        </w:rPr>
      </w:pPr>
      <w:bookmarkStart w:id="0" w:name="OLE_LINK1"/>
      <w:r>
        <w:rPr>
          <w:rFonts w:ascii="Times New Roman" w:hAnsi="Times New Roman" w:eastAsia="方正小标宋_GBK" w:cs="Times New Roman"/>
          <w:color w:val="000000"/>
          <w:sz w:val="44"/>
          <w:szCs w:val="44"/>
        </w:rPr>
        <w:t>省生态环境厅 省自然资源厅</w:t>
      </w:r>
    </w:p>
    <w:p>
      <w:pPr>
        <w:spacing w:line="580" w:lineRule="exact"/>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关于发布江苏省建设用地土壤污染风险</w:t>
      </w:r>
    </w:p>
    <w:p>
      <w:pPr>
        <w:spacing w:line="580" w:lineRule="exact"/>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管控和修复名录（第</w:t>
      </w:r>
      <w:r>
        <w:rPr>
          <w:rFonts w:hint="eastAsia" w:ascii="Times New Roman" w:hAnsi="Times New Roman" w:eastAsia="方正小标宋_GBK" w:cs="Times New Roman"/>
          <w:sz w:val="44"/>
          <w:szCs w:val="44"/>
        </w:rPr>
        <w:t>七</w:t>
      </w:r>
      <w:r>
        <w:rPr>
          <w:rFonts w:ascii="Times New Roman" w:hAnsi="Times New Roman" w:eastAsia="方正小标宋_GBK" w:cs="Times New Roman"/>
          <w:sz w:val="44"/>
          <w:szCs w:val="44"/>
        </w:rPr>
        <w:t>批）的通告</w:t>
      </w:r>
    </w:p>
    <w:bookmarkEnd w:id="0"/>
    <w:p>
      <w:pPr>
        <w:widowControl/>
        <w:spacing w:line="580" w:lineRule="exact"/>
        <w:ind w:firstLine="630"/>
        <w:jc w:val="left"/>
        <w:rPr>
          <w:rFonts w:ascii="Times New Roman" w:hAnsi="Times New Roman" w:eastAsia="方正仿宋_GBK" w:cs="Times New Roman"/>
          <w:color w:val="000000"/>
          <w:kern w:val="0"/>
          <w:sz w:val="32"/>
          <w:szCs w:val="32"/>
        </w:rPr>
      </w:pPr>
    </w:p>
    <w:p>
      <w:pPr>
        <w:widowControl/>
        <w:spacing w:line="580" w:lineRule="exact"/>
        <w:ind w:firstLine="630"/>
        <w:rPr>
          <w:rFonts w:ascii="Times New Roman" w:hAnsi="Times New Roman" w:eastAsia="微软雅黑" w:cs="Times New Roman"/>
          <w:color w:val="4A4949"/>
          <w:kern w:val="0"/>
          <w:sz w:val="24"/>
          <w:szCs w:val="24"/>
        </w:rPr>
      </w:pPr>
      <w:r>
        <w:rPr>
          <w:rFonts w:ascii="Times New Roman" w:hAnsi="Times New Roman" w:eastAsia="方正仿宋_GBK" w:cs="Times New Roman"/>
          <w:kern w:val="0"/>
          <w:sz w:val="32"/>
          <w:szCs w:val="32"/>
        </w:rPr>
        <w:t>根据《中华人民共和国土壤污染防治法》《建设用地土壤污染风险管控和修复名录及修复施工相关信息公开工作指南》（生态环境部公告2021年第71号）关于建设用地土壤污染风险管控和修复名录信息公开要求，</w:t>
      </w:r>
      <w:r>
        <w:rPr>
          <w:rFonts w:ascii="Times New Roman" w:hAnsi="Times New Roman" w:eastAsia="方正仿宋_GBK" w:cs="Times New Roman"/>
          <w:color w:val="000000"/>
          <w:kern w:val="0"/>
          <w:sz w:val="32"/>
          <w:szCs w:val="32"/>
        </w:rPr>
        <w:t>结合近期开展的建设用地土壤污染风险评估、风险管控和修复效果评估及评审情况，江苏省生态环境厅会同江苏省自然资源厅形成了《江苏省建设用地土壤污染风险管控和修复名录（第</w:t>
      </w:r>
      <w:r>
        <w:rPr>
          <w:rFonts w:hint="eastAsia" w:ascii="Times New Roman" w:hAnsi="Times New Roman" w:eastAsia="方正仿宋_GBK" w:cs="Times New Roman"/>
          <w:color w:val="000000"/>
          <w:kern w:val="0"/>
          <w:sz w:val="32"/>
          <w:szCs w:val="32"/>
        </w:rPr>
        <w:t>七</w:t>
      </w:r>
      <w:r>
        <w:rPr>
          <w:rFonts w:ascii="Times New Roman" w:hAnsi="Times New Roman" w:eastAsia="方正仿宋_GBK" w:cs="Times New Roman"/>
          <w:color w:val="000000"/>
          <w:kern w:val="0"/>
          <w:sz w:val="32"/>
          <w:szCs w:val="32"/>
        </w:rPr>
        <w:t>批）》（以下简称名录），现予以公布。</w:t>
      </w:r>
    </w:p>
    <w:p>
      <w:pPr>
        <w:spacing w:line="560" w:lineRule="exact"/>
        <w:ind w:firstLine="640" w:firstLineChars="200"/>
        <w:rPr>
          <w:rFonts w:ascii="Times New Roman" w:hAnsi="Times New Roman" w:eastAsia="方正黑体_GBK" w:cs="Times New Roman"/>
          <w:color w:val="000000"/>
          <w:sz w:val="32"/>
          <w:szCs w:val="32"/>
        </w:rPr>
      </w:pPr>
      <w:r>
        <w:rPr>
          <w:rFonts w:ascii="Times New Roman" w:hAnsi="Times New Roman" w:eastAsia="方正黑体_GBK" w:cs="Times New Roman"/>
          <w:color w:val="000000"/>
          <w:sz w:val="32"/>
          <w:szCs w:val="32"/>
        </w:rPr>
        <w:t>一、新增列入名录地块</w:t>
      </w:r>
    </w:p>
    <w:p>
      <w:pPr>
        <w:spacing w:line="560" w:lineRule="exact"/>
        <w:ind w:firstLine="640"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根据建设用地土壤污染风险评估情况，将</w:t>
      </w:r>
      <w:r>
        <w:rPr>
          <w:rFonts w:hint="eastAsia" w:ascii="Times New Roman" w:hAnsi="Times New Roman" w:eastAsia="方正仿宋_GBK" w:cs="Times New Roman"/>
          <w:color w:val="000000"/>
          <w:sz w:val="32"/>
          <w:szCs w:val="32"/>
        </w:rPr>
        <w:t>原溧阳市中大建材有限公司地块</w:t>
      </w:r>
      <w:r>
        <w:rPr>
          <w:rFonts w:ascii="Times New Roman" w:hAnsi="Times New Roman" w:eastAsia="方正仿宋_GBK" w:cs="Times New Roman"/>
          <w:color w:val="000000"/>
          <w:sz w:val="32"/>
          <w:szCs w:val="32"/>
        </w:rPr>
        <w:t>等10个地块新增列入名录管理。</w:t>
      </w:r>
    </w:p>
    <w:p>
      <w:pPr>
        <w:widowControl/>
        <w:spacing w:line="580" w:lineRule="exact"/>
        <w:ind w:firstLine="645"/>
        <w:jc w:val="left"/>
        <w:rPr>
          <w:rFonts w:ascii="Times New Roman" w:hAnsi="Times New Roman" w:eastAsia="微软雅黑" w:cs="Times New Roman"/>
          <w:color w:val="4A4949"/>
          <w:kern w:val="0"/>
          <w:sz w:val="24"/>
          <w:szCs w:val="24"/>
        </w:rPr>
      </w:pPr>
      <w:r>
        <w:rPr>
          <w:rFonts w:ascii="Times New Roman" w:hAnsi="Times New Roman" w:eastAsia="方正黑体_GBK" w:cs="Times New Roman"/>
          <w:color w:val="000000"/>
          <w:kern w:val="0"/>
          <w:sz w:val="32"/>
          <w:szCs w:val="32"/>
        </w:rPr>
        <w:t>二、移出名录地块</w:t>
      </w:r>
    </w:p>
    <w:p>
      <w:pPr>
        <w:spacing w:line="560" w:lineRule="exact"/>
        <w:ind w:firstLine="640"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根据建设用地土壤污染修复效果评估情况，将</w:t>
      </w:r>
      <w:r>
        <w:rPr>
          <w:rFonts w:hint="eastAsia" w:ascii="Times New Roman" w:hAnsi="Times New Roman" w:eastAsia="方正仿宋_GBK" w:cs="Times New Roman"/>
          <w:color w:val="000000"/>
          <w:sz w:val="32"/>
          <w:szCs w:val="32"/>
        </w:rPr>
        <w:t>原南京铁合金厂铁路货场地块</w:t>
      </w:r>
      <w:r>
        <w:rPr>
          <w:rFonts w:ascii="Times New Roman" w:hAnsi="Times New Roman" w:eastAsia="方正仿宋_GBK" w:cs="Times New Roman"/>
          <w:color w:val="000000"/>
          <w:sz w:val="32"/>
          <w:szCs w:val="32"/>
        </w:rPr>
        <w:t>移出名录。</w:t>
      </w:r>
    </w:p>
    <w:p>
      <w:pPr>
        <w:widowControl/>
        <w:spacing w:line="580" w:lineRule="exact"/>
        <w:ind w:firstLine="645"/>
        <w:jc w:val="left"/>
        <w:rPr>
          <w:rFonts w:ascii="Times New Roman" w:hAnsi="Times New Roman" w:eastAsia="微软雅黑" w:cs="Times New Roman"/>
          <w:color w:val="4A4949"/>
          <w:kern w:val="0"/>
          <w:sz w:val="24"/>
          <w:szCs w:val="24"/>
        </w:rPr>
      </w:pPr>
      <w:r>
        <w:rPr>
          <w:rFonts w:ascii="Times New Roman" w:hAnsi="Times New Roman" w:eastAsia="方正黑体_GBK" w:cs="Times New Roman"/>
          <w:color w:val="000000"/>
          <w:kern w:val="0"/>
          <w:sz w:val="32"/>
          <w:szCs w:val="32"/>
        </w:rPr>
        <w:t>三、有关要求</w:t>
      </w:r>
    </w:p>
    <w:p>
      <w:pPr>
        <w:widowControl/>
        <w:spacing w:line="580" w:lineRule="exact"/>
        <w:ind w:firstLine="645"/>
        <w:jc w:val="left"/>
        <w:rPr>
          <w:rFonts w:ascii="Times New Roman" w:hAnsi="Times New Roman" w:eastAsia="方正仿宋_GBK" w:cs="Times New Roman"/>
          <w:color w:val="000000"/>
          <w:kern w:val="0"/>
          <w:sz w:val="32"/>
          <w:szCs w:val="32"/>
        </w:rPr>
      </w:pPr>
      <w:r>
        <w:rPr>
          <w:rFonts w:ascii="Times New Roman" w:hAnsi="Times New Roman" w:eastAsia="方正仿宋_GBK" w:cs="Times New Roman"/>
          <w:color w:val="000000"/>
          <w:kern w:val="0"/>
          <w:sz w:val="32"/>
          <w:szCs w:val="32"/>
        </w:rPr>
        <w:t>（一）列入名录的地块，不得作为住宅、公共管理与公共服务用地。未达到土壤污染风险评估报告确定的风险管控、修复目标的建设用地地块，禁止开工建设任何与风险管控、修复无关的项目。</w:t>
      </w:r>
    </w:p>
    <w:p>
      <w:pPr>
        <w:widowControl/>
        <w:spacing w:line="580" w:lineRule="exact"/>
        <w:ind w:firstLine="645"/>
        <w:jc w:val="left"/>
        <w:rPr>
          <w:rFonts w:ascii="Times New Roman" w:hAnsi="Times New Roman" w:eastAsia="方正仿宋_GBK" w:cs="Times New Roman"/>
          <w:color w:val="000000"/>
          <w:kern w:val="0"/>
          <w:sz w:val="32"/>
          <w:szCs w:val="32"/>
        </w:rPr>
      </w:pPr>
      <w:r>
        <w:rPr>
          <w:rFonts w:ascii="Times New Roman" w:hAnsi="Times New Roman" w:eastAsia="方正仿宋_GBK" w:cs="Times New Roman"/>
          <w:color w:val="000000"/>
          <w:kern w:val="0"/>
          <w:sz w:val="32"/>
          <w:szCs w:val="32"/>
        </w:rPr>
        <w:t>（二）对列入名录的地块，土壤污染责任人应当按照国家有关规定以及土壤污染风险评估报告的要求，采取相应的风险管控措施，并定期向地方人民政府生态环境主管部门报告。</w:t>
      </w:r>
    </w:p>
    <w:p>
      <w:pPr>
        <w:widowControl/>
        <w:spacing w:line="580" w:lineRule="exact"/>
        <w:ind w:firstLine="645"/>
        <w:jc w:val="left"/>
        <w:rPr>
          <w:rFonts w:ascii="Times New Roman" w:hAnsi="Times New Roman" w:eastAsia="方正仿宋_GBK" w:cs="Times New Roman"/>
          <w:color w:val="000000"/>
          <w:kern w:val="0"/>
          <w:sz w:val="32"/>
          <w:szCs w:val="32"/>
        </w:rPr>
      </w:pPr>
    </w:p>
    <w:p>
      <w:pPr>
        <w:widowControl/>
        <w:spacing w:line="580" w:lineRule="exact"/>
        <w:ind w:firstLine="640" w:firstLineChars="200"/>
        <w:jc w:val="left"/>
        <w:rPr>
          <w:rFonts w:ascii="Times New Roman" w:hAnsi="Times New Roman" w:eastAsia="方正仿宋_GBK" w:cs="Times New Roman"/>
          <w:color w:val="000000"/>
          <w:kern w:val="0"/>
          <w:sz w:val="32"/>
          <w:szCs w:val="32"/>
        </w:rPr>
      </w:pPr>
    </w:p>
    <w:p>
      <w:pPr>
        <w:widowControl/>
        <w:spacing w:line="580" w:lineRule="exact"/>
        <w:ind w:left="1598" w:leftChars="304" w:hanging="960" w:hangingChars="300"/>
        <w:jc w:val="left"/>
        <w:rPr>
          <w:rFonts w:ascii="Times New Roman" w:hAnsi="Times New Roman" w:eastAsia="方正仿宋_GBK" w:cs="Times New Roman"/>
          <w:color w:val="000000"/>
          <w:kern w:val="0"/>
          <w:sz w:val="32"/>
          <w:szCs w:val="32"/>
        </w:rPr>
      </w:pPr>
      <w:bookmarkStart w:id="1" w:name="OLE_LINK2"/>
      <w:r>
        <w:rPr>
          <w:rFonts w:ascii="Times New Roman" w:hAnsi="Times New Roman" w:eastAsia="方正仿宋_GBK" w:cs="Times New Roman"/>
          <w:color w:val="000000"/>
          <w:kern w:val="0"/>
          <w:sz w:val="32"/>
          <w:szCs w:val="32"/>
        </w:rPr>
        <w:t>附件：1.江苏省建设用地土壤污染风险管控和修复名录（第</w:t>
      </w:r>
      <w:r>
        <w:rPr>
          <w:rFonts w:hint="eastAsia" w:ascii="Times New Roman" w:hAnsi="Times New Roman" w:eastAsia="方正仿宋_GBK" w:cs="Times New Roman"/>
          <w:color w:val="000000"/>
          <w:kern w:val="0"/>
          <w:sz w:val="32"/>
          <w:szCs w:val="32"/>
        </w:rPr>
        <w:t>七</w:t>
      </w:r>
      <w:r>
        <w:rPr>
          <w:rFonts w:ascii="Times New Roman" w:hAnsi="Times New Roman" w:eastAsia="方正仿宋_GBK" w:cs="Times New Roman"/>
          <w:color w:val="000000"/>
          <w:kern w:val="0"/>
          <w:sz w:val="32"/>
          <w:szCs w:val="32"/>
        </w:rPr>
        <w:t>批）</w:t>
      </w:r>
    </w:p>
    <w:p>
      <w:pPr>
        <w:widowControl/>
        <w:spacing w:line="580" w:lineRule="exact"/>
        <w:ind w:left="1598" w:leftChars="304" w:hanging="960" w:hangingChars="300"/>
        <w:jc w:val="left"/>
        <w:rPr>
          <w:rFonts w:ascii="Times New Roman" w:hAnsi="Times New Roman" w:eastAsia="方正仿宋_GBK" w:cs="Times New Roman"/>
          <w:color w:val="000000"/>
          <w:kern w:val="0"/>
          <w:sz w:val="32"/>
          <w:szCs w:val="32"/>
        </w:rPr>
      </w:pPr>
      <w:r>
        <w:rPr>
          <w:rFonts w:ascii="Times New Roman" w:hAnsi="Times New Roman" w:eastAsia="方正仿宋_GBK" w:cs="Times New Roman"/>
          <w:color w:val="000000"/>
          <w:kern w:val="0"/>
          <w:sz w:val="32"/>
          <w:szCs w:val="32"/>
        </w:rPr>
        <w:t xml:space="preserve">      2.江苏省建设用地土壤污染风险管控和修复名录移出清单（第</w:t>
      </w:r>
      <w:r>
        <w:rPr>
          <w:rFonts w:hint="eastAsia" w:ascii="Times New Roman" w:hAnsi="Times New Roman" w:eastAsia="方正仿宋_GBK" w:cs="Times New Roman"/>
          <w:color w:val="000000"/>
          <w:kern w:val="0"/>
          <w:sz w:val="32"/>
          <w:szCs w:val="32"/>
        </w:rPr>
        <w:t>七</w:t>
      </w:r>
      <w:r>
        <w:rPr>
          <w:rFonts w:ascii="Times New Roman" w:hAnsi="Times New Roman" w:eastAsia="方正仿宋_GBK" w:cs="Times New Roman"/>
          <w:color w:val="000000"/>
          <w:kern w:val="0"/>
          <w:sz w:val="32"/>
          <w:szCs w:val="32"/>
        </w:rPr>
        <w:t>批）</w:t>
      </w:r>
    </w:p>
    <w:bookmarkEnd w:id="1"/>
    <w:p>
      <w:pPr>
        <w:spacing w:line="580" w:lineRule="exact"/>
        <w:ind w:firstLine="636"/>
        <w:rPr>
          <w:rFonts w:ascii="Times New Roman" w:hAnsi="Times New Roman" w:eastAsia="方正仿宋_GBK" w:cs="Times New Roman"/>
          <w:sz w:val="32"/>
          <w:szCs w:val="32"/>
        </w:rPr>
      </w:pPr>
    </w:p>
    <w:p>
      <w:pPr>
        <w:spacing w:line="580" w:lineRule="exact"/>
        <w:ind w:firstLine="1280" w:firstLineChars="400"/>
        <w:rPr>
          <w:rFonts w:ascii="Times New Roman" w:hAnsi="Times New Roman" w:eastAsia="方正仿宋_GBK" w:cs="Times New Roman"/>
          <w:color w:val="000000"/>
          <w:sz w:val="32"/>
          <w:szCs w:val="32"/>
        </w:rPr>
      </w:pPr>
    </w:p>
    <w:p>
      <w:pPr>
        <w:spacing w:line="580" w:lineRule="exact"/>
        <w:ind w:firstLine="1280" w:firstLineChars="400"/>
        <w:rPr>
          <w:rFonts w:ascii="Times New Roman" w:hAnsi="Times New Roman" w:eastAsia="方正仿宋_GBK" w:cs="Times New Roman"/>
          <w:color w:val="000000"/>
          <w:sz w:val="32"/>
          <w:szCs w:val="32"/>
        </w:rPr>
      </w:pPr>
      <w:r>
        <w:rPr>
          <w:rFonts w:ascii="Times New Roman" w:hAnsi="Times New Roman" w:eastAsia="方正仿宋_GBK" w:cs="Times New Roman"/>
          <w:color w:val="000000"/>
          <w:sz w:val="32"/>
          <w:szCs w:val="32"/>
        </w:rPr>
        <w:t>江苏省生态环境厅          江苏省自然资源厅</w:t>
      </w:r>
    </w:p>
    <w:p>
      <w:pPr>
        <w:spacing w:line="580" w:lineRule="exact"/>
        <w:rPr>
          <w:rFonts w:ascii="Times New Roman" w:hAnsi="Times New Roman" w:eastAsia="方正仿宋_GBK" w:cs="Times New Roman"/>
          <w:color w:val="000000"/>
          <w:sz w:val="32"/>
          <w:szCs w:val="32"/>
        </w:rPr>
        <w:sectPr>
          <w:footerReference r:id="rId3" w:type="default"/>
          <w:pgSz w:w="11906" w:h="16838"/>
          <w:pgMar w:top="1814" w:right="1531" w:bottom="1985" w:left="1531" w:header="851" w:footer="992" w:gutter="0"/>
          <w:pgNumType w:start="1"/>
          <w:cols w:space="720" w:num="1"/>
          <w:titlePg/>
          <w:docGrid w:type="lines" w:linePitch="312" w:charSpace="0"/>
        </w:sectPr>
      </w:pPr>
      <w:r>
        <w:rPr>
          <w:rFonts w:ascii="Times New Roman" w:hAnsi="Times New Roman" w:eastAsia="方正仿宋_GBK" w:cs="Times New Roman"/>
          <w:color w:val="000000"/>
          <w:sz w:val="32"/>
          <w:szCs w:val="32"/>
        </w:rPr>
        <w:t xml:space="preserve">                                   2022年6月 日</w:t>
      </w:r>
    </w:p>
    <w:p>
      <w:pPr>
        <w:widowControl/>
        <w:spacing w:line="420" w:lineRule="atLeast"/>
        <w:ind w:right="465"/>
        <w:rPr>
          <w:rFonts w:ascii="Times New Roman" w:hAnsi="Times New Roman" w:eastAsia="黑体" w:cs="Times New Roman"/>
          <w:color w:val="000000"/>
          <w:kern w:val="0"/>
          <w:sz w:val="32"/>
          <w:szCs w:val="32"/>
        </w:rPr>
      </w:pPr>
      <w:r>
        <w:rPr>
          <w:rFonts w:ascii="Times New Roman" w:hAnsi="Times New Roman" w:eastAsia="黑体" w:cs="Times New Roman"/>
          <w:color w:val="000000"/>
          <w:kern w:val="0"/>
          <w:sz w:val="32"/>
          <w:szCs w:val="32"/>
        </w:rPr>
        <w:t>附件1</w:t>
      </w:r>
    </w:p>
    <w:p>
      <w:pPr>
        <w:widowControl/>
        <w:spacing w:line="420" w:lineRule="atLeast"/>
        <w:jc w:val="center"/>
        <w:rPr>
          <w:rFonts w:ascii="Times New Roman" w:hAnsi="Times New Roman" w:eastAsia="方正小标宋_GBK" w:cs="Times New Roman"/>
          <w:color w:val="4A4949"/>
          <w:kern w:val="0"/>
          <w:sz w:val="44"/>
          <w:szCs w:val="44"/>
        </w:rPr>
      </w:pPr>
      <w:r>
        <w:rPr>
          <w:rFonts w:ascii="Times New Roman" w:hAnsi="Times New Roman" w:eastAsia="方正小标宋_GBK" w:cs="Times New Roman"/>
          <w:color w:val="000000"/>
          <w:kern w:val="0"/>
          <w:sz w:val="36"/>
          <w:szCs w:val="36"/>
        </w:rPr>
        <w:t>江苏省建设用地土壤污染风险管控和修复名录（第</w:t>
      </w:r>
      <w:r>
        <w:rPr>
          <w:rFonts w:hint="eastAsia" w:ascii="Times New Roman" w:hAnsi="Times New Roman" w:eastAsia="方正小标宋_GBK" w:cs="Times New Roman"/>
          <w:color w:val="000000"/>
          <w:kern w:val="0"/>
          <w:sz w:val="36"/>
          <w:szCs w:val="36"/>
        </w:rPr>
        <w:t>七</w:t>
      </w:r>
      <w:r>
        <w:rPr>
          <w:rFonts w:ascii="Times New Roman" w:hAnsi="Times New Roman" w:eastAsia="方正小标宋_GBK" w:cs="Times New Roman"/>
          <w:color w:val="000000"/>
          <w:kern w:val="0"/>
          <w:sz w:val="36"/>
          <w:szCs w:val="36"/>
        </w:rPr>
        <w:t>批）</w:t>
      </w:r>
    </w:p>
    <w:tbl>
      <w:tblPr>
        <w:tblStyle w:val="7"/>
        <w:tblW w:w="4875" w:type="pct"/>
        <w:jc w:val="center"/>
        <w:tblBorders>
          <w:top w:val="single" w:color="auto" w:sz="4" w:space="0"/>
          <w:left w:val="none" w:color="auto" w:sz="4" w:space="0"/>
          <w:bottom w:val="none" w:color="auto" w:sz="4" w:space="0"/>
          <w:right w:val="none" w:color="auto" w:sz="4" w:space="0"/>
          <w:insideH w:val="none" w:color="auto" w:sz="4" w:space="0"/>
          <w:insideV w:val="none" w:color="auto" w:sz="4" w:space="0"/>
        </w:tblBorders>
        <w:tblLayout w:type="autofit"/>
        <w:tblCellMar>
          <w:top w:w="0" w:type="dxa"/>
          <w:left w:w="108" w:type="dxa"/>
          <w:bottom w:w="0" w:type="dxa"/>
          <w:right w:w="108" w:type="dxa"/>
        </w:tblCellMar>
      </w:tblPr>
      <w:tblGrid>
        <w:gridCol w:w="757"/>
        <w:gridCol w:w="1402"/>
        <w:gridCol w:w="959"/>
        <w:gridCol w:w="1374"/>
        <w:gridCol w:w="2082"/>
        <w:gridCol w:w="1252"/>
        <w:gridCol w:w="1344"/>
        <w:gridCol w:w="1717"/>
        <w:gridCol w:w="1587"/>
        <w:gridCol w:w="1346"/>
      </w:tblGrid>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780" w:hRule="atLeast"/>
          <w:tblHeader/>
          <w:jc w:val="center"/>
        </w:trPr>
        <w:tc>
          <w:tcPr>
            <w:tcW w:w="274" w:type="pct"/>
            <w:tcBorders>
              <w:left w:val="single" w:color="auto" w:sz="4" w:space="0"/>
              <w:bottom w:val="single" w:color="auto" w:sz="4" w:space="0"/>
              <w:right w:val="single" w:color="auto" w:sz="4" w:space="0"/>
            </w:tcBorders>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序号</w:t>
            </w:r>
          </w:p>
        </w:tc>
        <w:tc>
          <w:tcPr>
            <w:tcW w:w="507" w:type="pct"/>
            <w:tcBorders>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地块名称</w:t>
            </w:r>
          </w:p>
        </w:tc>
        <w:tc>
          <w:tcPr>
            <w:tcW w:w="347" w:type="pct"/>
            <w:tcBorders>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所在市</w:t>
            </w:r>
          </w:p>
        </w:tc>
        <w:tc>
          <w:tcPr>
            <w:tcW w:w="497" w:type="pct"/>
            <w:tcBorders>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详细地址</w:t>
            </w:r>
          </w:p>
        </w:tc>
        <w:tc>
          <w:tcPr>
            <w:tcW w:w="753" w:type="pct"/>
            <w:tcBorders>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四至范围</w:t>
            </w:r>
          </w:p>
        </w:tc>
        <w:tc>
          <w:tcPr>
            <w:tcW w:w="453" w:type="pct"/>
            <w:tcBorders>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地块面积（m2)</w:t>
            </w:r>
          </w:p>
        </w:tc>
        <w:tc>
          <w:tcPr>
            <w:tcW w:w="486" w:type="pct"/>
            <w:tcBorders>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土地使用权人</w:t>
            </w:r>
          </w:p>
        </w:tc>
        <w:tc>
          <w:tcPr>
            <w:tcW w:w="621" w:type="pct"/>
            <w:tcBorders>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风险管控或修复目标</w:t>
            </w:r>
          </w:p>
        </w:tc>
        <w:tc>
          <w:tcPr>
            <w:tcW w:w="574" w:type="pct"/>
            <w:tcBorders>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hint="eastAsia" w:ascii="Times New Roman" w:hAnsi="Times New Roman" w:cs="Times New Roman"/>
                <w:b/>
                <w:bCs/>
                <w:kern w:val="0"/>
                <w:sz w:val="18"/>
                <w:szCs w:val="18"/>
              </w:rPr>
              <w:t>风险评估报告</w:t>
            </w:r>
            <w:r>
              <w:rPr>
                <w:rFonts w:ascii="Times New Roman" w:hAnsi="Times New Roman" w:cs="Times New Roman"/>
                <w:b/>
                <w:bCs/>
                <w:kern w:val="0"/>
                <w:sz w:val="18"/>
                <w:szCs w:val="18"/>
              </w:rPr>
              <w:t>编制单位</w:t>
            </w:r>
          </w:p>
        </w:tc>
        <w:tc>
          <w:tcPr>
            <w:tcW w:w="487" w:type="pct"/>
            <w:tcBorders>
              <w:left w:val="single" w:color="auto" w:sz="4" w:space="0"/>
              <w:bottom w:val="single" w:color="auto" w:sz="4" w:space="0"/>
              <w:right w:val="single" w:color="auto" w:sz="4" w:space="0"/>
            </w:tcBorders>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纳入日期</w:t>
            </w:r>
          </w:p>
        </w:tc>
      </w:tr>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1484" w:hRule="atLeast"/>
          <w:jc w:val="center"/>
        </w:trPr>
        <w:tc>
          <w:tcPr>
            <w:tcW w:w="274"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1</w:t>
            </w:r>
          </w:p>
        </w:tc>
        <w:tc>
          <w:tcPr>
            <w:tcW w:w="50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原溧阳市中大建材有限公司地块</w:t>
            </w:r>
          </w:p>
        </w:tc>
        <w:tc>
          <w:tcPr>
            <w:tcW w:w="34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常州</w:t>
            </w:r>
          </w:p>
        </w:tc>
        <w:tc>
          <w:tcPr>
            <w:tcW w:w="49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常州市溧阳市江苏中关村科技产业园</w:t>
            </w:r>
          </w:p>
        </w:tc>
        <w:tc>
          <w:tcPr>
            <w:tcW w:w="7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东侧为在建住宅楼，西侧紧邻奥体大道，南侧紧邻金山路，北侧邻南河</w:t>
            </w:r>
          </w:p>
        </w:tc>
        <w:tc>
          <w:tcPr>
            <w:tcW w:w="4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8884.8</w:t>
            </w:r>
          </w:p>
        </w:tc>
        <w:tc>
          <w:tcPr>
            <w:tcW w:w="48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江苏省溧阳市高新技术产业开发区管理委员会</w:t>
            </w:r>
          </w:p>
        </w:tc>
        <w:tc>
          <w:tcPr>
            <w:tcW w:w="621"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highlight w:val="yellow"/>
              </w:rPr>
            </w:pPr>
            <w:r>
              <w:rPr>
                <w:rFonts w:ascii="Times New Roman" w:hAnsi="Times New Roman" w:cs="Times New Roman"/>
                <w:kern w:val="0"/>
                <w:sz w:val="18"/>
                <w:szCs w:val="18"/>
              </w:rPr>
              <w:t>满足居住用地、交通运输用地土壤环境质量要求</w:t>
            </w:r>
          </w:p>
        </w:tc>
        <w:tc>
          <w:tcPr>
            <w:tcW w:w="574"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江苏龙环环境科技有限公司</w:t>
            </w:r>
          </w:p>
        </w:tc>
        <w:tc>
          <w:tcPr>
            <w:tcW w:w="48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2022.3.18</w:t>
            </w:r>
          </w:p>
        </w:tc>
      </w:tr>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1484" w:hRule="atLeast"/>
          <w:jc w:val="center"/>
        </w:trPr>
        <w:tc>
          <w:tcPr>
            <w:tcW w:w="274"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2</w:t>
            </w:r>
          </w:p>
        </w:tc>
        <w:tc>
          <w:tcPr>
            <w:tcW w:w="50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秦淮区七桥A区国际路以东、国东路以西地块</w:t>
            </w:r>
          </w:p>
        </w:tc>
        <w:tc>
          <w:tcPr>
            <w:tcW w:w="34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南京</w:t>
            </w:r>
          </w:p>
        </w:tc>
        <w:tc>
          <w:tcPr>
            <w:tcW w:w="49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南京市秦淮区红花街道</w:t>
            </w:r>
          </w:p>
        </w:tc>
        <w:tc>
          <w:tcPr>
            <w:tcW w:w="7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北至秦淮南路（在建），西至国际路（在建），东至国东路（规划），南至红花路（规划）</w:t>
            </w:r>
          </w:p>
        </w:tc>
        <w:tc>
          <w:tcPr>
            <w:tcW w:w="4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39231</w:t>
            </w:r>
          </w:p>
        </w:tc>
        <w:tc>
          <w:tcPr>
            <w:tcW w:w="48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南京市土地储备中心</w:t>
            </w:r>
          </w:p>
        </w:tc>
        <w:tc>
          <w:tcPr>
            <w:tcW w:w="621"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满足公共管理与公共服务用地</w:t>
            </w:r>
            <w:r>
              <w:rPr>
                <w:rFonts w:hint="eastAsia" w:ascii="Times New Roman" w:hAnsi="Times New Roman" w:cs="Times New Roman"/>
                <w:kern w:val="0"/>
                <w:sz w:val="18"/>
                <w:szCs w:val="18"/>
              </w:rPr>
              <w:t>、</w:t>
            </w:r>
            <w:r>
              <w:rPr>
                <w:rFonts w:ascii="Times New Roman" w:hAnsi="Times New Roman" w:cs="Times New Roman"/>
                <w:kern w:val="0"/>
                <w:sz w:val="18"/>
                <w:szCs w:val="18"/>
              </w:rPr>
              <w:t>绿地与开敞空间用地</w:t>
            </w:r>
            <w:r>
              <w:rPr>
                <w:rFonts w:hint="eastAsia" w:ascii="Times New Roman" w:hAnsi="Times New Roman" w:cs="Times New Roman"/>
                <w:kern w:val="0"/>
                <w:sz w:val="18"/>
                <w:szCs w:val="18"/>
              </w:rPr>
              <w:t>、</w:t>
            </w:r>
            <w:r>
              <w:rPr>
                <w:rFonts w:ascii="Times New Roman" w:hAnsi="Times New Roman" w:cs="Times New Roman"/>
                <w:kern w:val="0"/>
                <w:sz w:val="18"/>
                <w:szCs w:val="18"/>
              </w:rPr>
              <w:t>交通运输用地土壤环境质量要求</w:t>
            </w:r>
          </w:p>
        </w:tc>
        <w:tc>
          <w:tcPr>
            <w:tcW w:w="574"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南京大学环境规划设计研究院集团股份公司</w:t>
            </w:r>
          </w:p>
        </w:tc>
        <w:tc>
          <w:tcPr>
            <w:tcW w:w="48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2022.4.13</w:t>
            </w:r>
          </w:p>
        </w:tc>
      </w:tr>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1484" w:hRule="atLeast"/>
          <w:jc w:val="center"/>
        </w:trPr>
        <w:tc>
          <w:tcPr>
            <w:tcW w:w="274"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3</w:t>
            </w:r>
          </w:p>
        </w:tc>
        <w:tc>
          <w:tcPr>
            <w:tcW w:w="50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南京市江宁区静淮街以东、静泰路以南（原寒锐钴业有限公司）地块</w:t>
            </w:r>
          </w:p>
        </w:tc>
        <w:tc>
          <w:tcPr>
            <w:tcW w:w="34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南京</w:t>
            </w:r>
          </w:p>
        </w:tc>
        <w:tc>
          <w:tcPr>
            <w:tcW w:w="49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南京市江宁区秣陵街道湖滨社区</w:t>
            </w:r>
          </w:p>
        </w:tc>
        <w:tc>
          <w:tcPr>
            <w:tcW w:w="7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东至规划初中用地，西至静淮街，南至规划初中用地，北至静泰路（规划）</w:t>
            </w:r>
          </w:p>
        </w:tc>
        <w:tc>
          <w:tcPr>
            <w:tcW w:w="4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6505.80</w:t>
            </w:r>
          </w:p>
        </w:tc>
        <w:tc>
          <w:tcPr>
            <w:tcW w:w="48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南京市江宁区教育局</w:t>
            </w:r>
          </w:p>
        </w:tc>
        <w:tc>
          <w:tcPr>
            <w:tcW w:w="621"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满足公共管理与公共服务用地土壤环境质量要求</w:t>
            </w:r>
          </w:p>
        </w:tc>
        <w:tc>
          <w:tcPr>
            <w:tcW w:w="574"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江苏中晟环境修复有限公司</w:t>
            </w:r>
          </w:p>
        </w:tc>
        <w:tc>
          <w:tcPr>
            <w:tcW w:w="48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2022.3.16</w:t>
            </w:r>
          </w:p>
        </w:tc>
      </w:tr>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1484" w:hRule="atLeast"/>
          <w:jc w:val="center"/>
        </w:trPr>
        <w:tc>
          <w:tcPr>
            <w:tcW w:w="274"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4</w:t>
            </w:r>
          </w:p>
        </w:tc>
        <w:tc>
          <w:tcPr>
            <w:tcW w:w="50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盐城市长坝电镀厂地块</w:t>
            </w:r>
          </w:p>
        </w:tc>
        <w:tc>
          <w:tcPr>
            <w:tcW w:w="34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盐城</w:t>
            </w:r>
          </w:p>
        </w:tc>
        <w:tc>
          <w:tcPr>
            <w:tcW w:w="49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盐城市亭湖区长坝村委会长达南路15 号</w:t>
            </w:r>
          </w:p>
        </w:tc>
        <w:tc>
          <w:tcPr>
            <w:tcW w:w="7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东至长达沟，西至西环路，南至荒地，北至万方名城馨心园</w:t>
            </w:r>
          </w:p>
        </w:tc>
        <w:tc>
          <w:tcPr>
            <w:tcW w:w="4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8166</w:t>
            </w:r>
          </w:p>
        </w:tc>
        <w:tc>
          <w:tcPr>
            <w:tcW w:w="48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盐城市亭湖城市资产投资实业有限公司</w:t>
            </w:r>
          </w:p>
        </w:tc>
        <w:tc>
          <w:tcPr>
            <w:tcW w:w="621"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满足居住用地土壤环境质量要求</w:t>
            </w:r>
          </w:p>
        </w:tc>
        <w:tc>
          <w:tcPr>
            <w:tcW w:w="574"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江苏盐城环保科技城土壤污染修复研发中心</w:t>
            </w:r>
          </w:p>
        </w:tc>
        <w:tc>
          <w:tcPr>
            <w:tcW w:w="48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2022.5.17</w:t>
            </w:r>
          </w:p>
        </w:tc>
      </w:tr>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1484" w:hRule="atLeast"/>
          <w:jc w:val="center"/>
        </w:trPr>
        <w:tc>
          <w:tcPr>
            <w:tcW w:w="274"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5</w:t>
            </w:r>
          </w:p>
        </w:tc>
        <w:tc>
          <w:tcPr>
            <w:tcW w:w="50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原苏州市新欣电镀有限公司、原苏州市森博精密塑料电镀厂地块</w:t>
            </w:r>
          </w:p>
        </w:tc>
        <w:tc>
          <w:tcPr>
            <w:tcW w:w="34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苏州</w:t>
            </w:r>
          </w:p>
        </w:tc>
        <w:tc>
          <w:tcPr>
            <w:tcW w:w="49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苏州市相城区黄桥街道朝阳河南侧、木巷大街西侧</w:t>
            </w:r>
          </w:p>
        </w:tc>
        <w:tc>
          <w:tcPr>
            <w:tcW w:w="7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东至木巷大街，北至朝阳河，南侧及西侧为荒地</w:t>
            </w:r>
          </w:p>
        </w:tc>
        <w:tc>
          <w:tcPr>
            <w:tcW w:w="4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3670</w:t>
            </w:r>
          </w:p>
        </w:tc>
        <w:tc>
          <w:tcPr>
            <w:tcW w:w="48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苏州市相城区人民政府黄桥街道办事处</w:t>
            </w:r>
          </w:p>
        </w:tc>
        <w:tc>
          <w:tcPr>
            <w:tcW w:w="621"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w:t>
            </w:r>
            <w:r>
              <w:rPr>
                <w:rFonts w:hint="eastAsia" w:ascii="Times New Roman" w:hAnsi="Times New Roman" w:cs="Times New Roman"/>
                <w:kern w:val="0"/>
                <w:sz w:val="18"/>
                <w:szCs w:val="18"/>
              </w:rPr>
              <w:t>、</w:t>
            </w:r>
            <w:r>
              <w:rPr>
                <w:rFonts w:ascii="Times New Roman" w:hAnsi="Times New Roman" w:cs="Times New Roman"/>
                <w:kern w:val="0"/>
                <w:sz w:val="18"/>
                <w:szCs w:val="18"/>
              </w:rPr>
              <w:t>绿地与开敞空间用地土壤环境质量要求</w:t>
            </w:r>
          </w:p>
        </w:tc>
        <w:tc>
          <w:tcPr>
            <w:tcW w:w="574"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苏州科技大学</w:t>
            </w:r>
          </w:p>
        </w:tc>
        <w:tc>
          <w:tcPr>
            <w:tcW w:w="48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2022.5.6</w:t>
            </w:r>
          </w:p>
        </w:tc>
      </w:tr>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1484" w:hRule="atLeast"/>
          <w:jc w:val="center"/>
        </w:trPr>
        <w:tc>
          <w:tcPr>
            <w:tcW w:w="274"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6</w:t>
            </w:r>
          </w:p>
        </w:tc>
        <w:tc>
          <w:tcPr>
            <w:tcW w:w="50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南京市江宁区将军大道718号、金鑫中路以北、金鑫路以西、童桥路以南（原南京中锗科技有限责任公司）地块</w:t>
            </w:r>
          </w:p>
        </w:tc>
        <w:tc>
          <w:tcPr>
            <w:tcW w:w="34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南京</w:t>
            </w:r>
          </w:p>
        </w:tc>
        <w:tc>
          <w:tcPr>
            <w:tcW w:w="49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南京市江宁区将军大道718号，新丰村行政区内</w:t>
            </w:r>
          </w:p>
        </w:tc>
        <w:tc>
          <w:tcPr>
            <w:tcW w:w="7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东至金鑫路，南至金鑫中路，北至童桥路</w:t>
            </w:r>
          </w:p>
        </w:tc>
        <w:tc>
          <w:tcPr>
            <w:tcW w:w="4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95822.90</w:t>
            </w:r>
          </w:p>
        </w:tc>
        <w:tc>
          <w:tcPr>
            <w:tcW w:w="48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南京中锗科技有限责任公司</w:t>
            </w:r>
          </w:p>
        </w:tc>
        <w:tc>
          <w:tcPr>
            <w:tcW w:w="621"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w:t>
            </w:r>
            <w:r>
              <w:rPr>
                <w:rFonts w:hint="eastAsia" w:ascii="Times New Roman" w:hAnsi="Times New Roman" w:cs="Times New Roman"/>
                <w:kern w:val="0"/>
                <w:sz w:val="18"/>
                <w:szCs w:val="18"/>
              </w:rPr>
              <w:t>居住用地、工矿用地、</w:t>
            </w:r>
            <w:r>
              <w:rPr>
                <w:rFonts w:ascii="Times New Roman" w:hAnsi="Times New Roman" w:cs="Times New Roman"/>
                <w:kern w:val="0"/>
                <w:sz w:val="18"/>
                <w:szCs w:val="18"/>
              </w:rPr>
              <w:t>绿地与开敞空间用地</w:t>
            </w:r>
            <w:r>
              <w:rPr>
                <w:rFonts w:hint="eastAsia" w:ascii="Times New Roman" w:hAnsi="Times New Roman" w:cs="Times New Roman"/>
                <w:kern w:val="0"/>
                <w:sz w:val="18"/>
                <w:szCs w:val="18"/>
              </w:rPr>
              <w:t>、</w:t>
            </w:r>
            <w:r>
              <w:rPr>
                <w:rFonts w:ascii="Times New Roman" w:hAnsi="Times New Roman" w:cs="Times New Roman"/>
                <w:kern w:val="0"/>
                <w:sz w:val="18"/>
                <w:szCs w:val="18"/>
              </w:rPr>
              <w:t>交通运输用地土壤环境质量要求</w:t>
            </w:r>
          </w:p>
        </w:tc>
        <w:tc>
          <w:tcPr>
            <w:tcW w:w="574"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江苏华东地质工程有限公司（江苏省有色金属华东地质勘查局八一〇队）</w:t>
            </w:r>
          </w:p>
        </w:tc>
        <w:tc>
          <w:tcPr>
            <w:tcW w:w="48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2022.4.12</w:t>
            </w:r>
          </w:p>
        </w:tc>
      </w:tr>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1484" w:hRule="atLeast"/>
          <w:jc w:val="center"/>
        </w:trPr>
        <w:tc>
          <w:tcPr>
            <w:tcW w:w="274"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7</w:t>
            </w:r>
          </w:p>
        </w:tc>
        <w:tc>
          <w:tcPr>
            <w:tcW w:w="507" w:type="pct"/>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cs="Times New Roman"/>
                <w:kern w:val="0"/>
                <w:sz w:val="18"/>
                <w:szCs w:val="18"/>
              </w:rPr>
            </w:pPr>
            <w:r>
              <w:rPr>
                <w:rFonts w:hint="eastAsia" w:ascii="Times New Roman" w:hAnsi="Times New Roman" w:cs="Times New Roman"/>
                <w:kern w:val="0"/>
                <w:sz w:val="18"/>
                <w:szCs w:val="18"/>
              </w:rPr>
              <w:t>无锡锡兴特钢A1地块</w:t>
            </w:r>
          </w:p>
        </w:tc>
        <w:tc>
          <w:tcPr>
            <w:tcW w:w="34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无锡</w:t>
            </w:r>
          </w:p>
        </w:tc>
        <w:tc>
          <w:tcPr>
            <w:tcW w:w="49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无锡市惠山区钱桥街道盛岸西路6</w:t>
            </w:r>
            <w:r>
              <w:rPr>
                <w:rFonts w:ascii="Times New Roman" w:hAnsi="Times New Roman" w:cs="Times New Roman"/>
                <w:kern w:val="0"/>
                <w:sz w:val="18"/>
                <w:szCs w:val="18"/>
              </w:rPr>
              <w:t>00</w:t>
            </w:r>
            <w:r>
              <w:rPr>
                <w:rFonts w:hint="eastAsia" w:ascii="Times New Roman" w:hAnsi="Times New Roman" w:cs="Times New Roman"/>
                <w:kern w:val="0"/>
                <w:sz w:val="18"/>
                <w:szCs w:val="18"/>
              </w:rPr>
              <w:t>号</w:t>
            </w:r>
          </w:p>
        </w:tc>
        <w:tc>
          <w:tcPr>
            <w:tcW w:w="7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东至无锡锡兴特钢B 地块，西至洋溪河内港河道，南至无锡锡兴特钢A2 地块，北至无锡锡兴特钢D 地块</w:t>
            </w:r>
          </w:p>
        </w:tc>
        <w:tc>
          <w:tcPr>
            <w:tcW w:w="4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71034</w:t>
            </w:r>
          </w:p>
        </w:tc>
        <w:tc>
          <w:tcPr>
            <w:tcW w:w="48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无锡市惠山区土地收购储备中心</w:t>
            </w:r>
          </w:p>
        </w:tc>
        <w:tc>
          <w:tcPr>
            <w:tcW w:w="621"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满足居住用地土壤环境质量要求</w:t>
            </w:r>
          </w:p>
        </w:tc>
        <w:tc>
          <w:tcPr>
            <w:tcW w:w="574"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南京大学环境规划设计研究院集团股份公司</w:t>
            </w:r>
          </w:p>
        </w:tc>
        <w:tc>
          <w:tcPr>
            <w:tcW w:w="48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2022.5.17</w:t>
            </w:r>
          </w:p>
        </w:tc>
      </w:tr>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1484" w:hRule="atLeast"/>
          <w:jc w:val="center"/>
        </w:trPr>
        <w:tc>
          <w:tcPr>
            <w:tcW w:w="274"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8</w:t>
            </w:r>
          </w:p>
        </w:tc>
        <w:tc>
          <w:tcPr>
            <w:tcW w:w="507" w:type="pct"/>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kern w:val="0"/>
                <w:sz w:val="18"/>
                <w:szCs w:val="18"/>
              </w:rPr>
            </w:pPr>
            <w:r>
              <w:rPr>
                <w:rFonts w:hint="eastAsia" w:ascii="Times New Roman" w:hAnsi="Times New Roman" w:cs="Times New Roman"/>
                <w:kern w:val="0"/>
                <w:sz w:val="18"/>
                <w:szCs w:val="18"/>
              </w:rPr>
              <w:t>无锡锡兴特钢A3地块</w:t>
            </w:r>
          </w:p>
        </w:tc>
        <w:tc>
          <w:tcPr>
            <w:tcW w:w="34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无锡</w:t>
            </w:r>
          </w:p>
        </w:tc>
        <w:tc>
          <w:tcPr>
            <w:tcW w:w="49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无锡市惠山区钱桥街道盛岸西路6</w:t>
            </w:r>
            <w:r>
              <w:rPr>
                <w:rFonts w:ascii="Times New Roman" w:hAnsi="Times New Roman" w:cs="Times New Roman"/>
                <w:kern w:val="0"/>
                <w:sz w:val="18"/>
                <w:szCs w:val="18"/>
              </w:rPr>
              <w:t>00</w:t>
            </w:r>
            <w:r>
              <w:rPr>
                <w:rFonts w:hint="eastAsia" w:ascii="Times New Roman" w:hAnsi="Times New Roman" w:cs="Times New Roman"/>
                <w:kern w:val="0"/>
                <w:sz w:val="18"/>
                <w:szCs w:val="18"/>
              </w:rPr>
              <w:t>号</w:t>
            </w:r>
          </w:p>
        </w:tc>
        <w:tc>
          <w:tcPr>
            <w:tcW w:w="7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东至无锡锡兴特钢C 地块，西至洋溪河内港河道，南至洋溪河，北至无锡锡兴特钢A2地块</w:t>
            </w:r>
          </w:p>
        </w:tc>
        <w:tc>
          <w:tcPr>
            <w:tcW w:w="4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6</w:t>
            </w:r>
            <w:r>
              <w:rPr>
                <w:rFonts w:ascii="Times New Roman" w:hAnsi="Times New Roman" w:cs="Times New Roman"/>
                <w:kern w:val="0"/>
                <w:sz w:val="18"/>
                <w:szCs w:val="18"/>
              </w:rPr>
              <w:t>8560</w:t>
            </w:r>
          </w:p>
        </w:tc>
        <w:tc>
          <w:tcPr>
            <w:tcW w:w="48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无锡市惠山区土地收购储备中心</w:t>
            </w:r>
          </w:p>
        </w:tc>
        <w:tc>
          <w:tcPr>
            <w:tcW w:w="621"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w:t>
            </w:r>
            <w:r>
              <w:rPr>
                <w:rFonts w:hint="eastAsia" w:ascii="Times New Roman" w:hAnsi="Times New Roman" w:cs="Times New Roman"/>
                <w:kern w:val="0"/>
                <w:sz w:val="18"/>
                <w:szCs w:val="18"/>
              </w:rPr>
              <w:t>、商业服务业用地</w:t>
            </w:r>
            <w:r>
              <w:rPr>
                <w:rFonts w:ascii="Times New Roman" w:hAnsi="Times New Roman" w:cs="Times New Roman"/>
                <w:kern w:val="0"/>
                <w:sz w:val="18"/>
                <w:szCs w:val="18"/>
              </w:rPr>
              <w:t>土壤环境质量要求</w:t>
            </w:r>
          </w:p>
        </w:tc>
        <w:tc>
          <w:tcPr>
            <w:tcW w:w="574"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南京大学环境规划设计研究院集团股份公司</w:t>
            </w:r>
          </w:p>
        </w:tc>
        <w:tc>
          <w:tcPr>
            <w:tcW w:w="48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2022.5.17</w:t>
            </w:r>
          </w:p>
        </w:tc>
      </w:tr>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1484" w:hRule="atLeast"/>
          <w:jc w:val="center"/>
        </w:trPr>
        <w:tc>
          <w:tcPr>
            <w:tcW w:w="274"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9</w:t>
            </w:r>
          </w:p>
        </w:tc>
        <w:tc>
          <w:tcPr>
            <w:tcW w:w="507" w:type="pct"/>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kern w:val="0"/>
                <w:sz w:val="18"/>
                <w:szCs w:val="18"/>
              </w:rPr>
            </w:pPr>
            <w:r>
              <w:rPr>
                <w:rFonts w:hint="eastAsia" w:ascii="Times New Roman" w:hAnsi="Times New Roman" w:cs="Times New Roman"/>
                <w:kern w:val="0"/>
                <w:sz w:val="18"/>
                <w:szCs w:val="18"/>
              </w:rPr>
              <w:t>无锡锡兴特钢B地块</w:t>
            </w:r>
          </w:p>
        </w:tc>
        <w:tc>
          <w:tcPr>
            <w:tcW w:w="34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无锡</w:t>
            </w:r>
          </w:p>
        </w:tc>
        <w:tc>
          <w:tcPr>
            <w:tcW w:w="49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无锡市惠山区钱桥街道盛岸西路6</w:t>
            </w:r>
            <w:r>
              <w:rPr>
                <w:rFonts w:ascii="Times New Roman" w:hAnsi="Times New Roman" w:cs="Times New Roman"/>
                <w:kern w:val="0"/>
                <w:sz w:val="18"/>
                <w:szCs w:val="18"/>
              </w:rPr>
              <w:t>00</w:t>
            </w:r>
            <w:r>
              <w:rPr>
                <w:rFonts w:hint="eastAsia" w:ascii="Times New Roman" w:hAnsi="Times New Roman" w:cs="Times New Roman"/>
                <w:kern w:val="0"/>
                <w:sz w:val="18"/>
                <w:szCs w:val="18"/>
              </w:rPr>
              <w:t>号</w:t>
            </w:r>
          </w:p>
        </w:tc>
        <w:tc>
          <w:tcPr>
            <w:tcW w:w="7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东至洋溪路（规划道路），西至无锡锡兴特钢A1 地块，南至无锡锡兴特钢C 地块，北至无锡锡兴特钢D 地块</w:t>
            </w:r>
          </w:p>
        </w:tc>
        <w:tc>
          <w:tcPr>
            <w:tcW w:w="4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57192</w:t>
            </w:r>
          </w:p>
        </w:tc>
        <w:tc>
          <w:tcPr>
            <w:tcW w:w="48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无锡市惠山区土地收购储备中心</w:t>
            </w:r>
          </w:p>
        </w:tc>
        <w:tc>
          <w:tcPr>
            <w:tcW w:w="621"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w:t>
            </w:r>
            <w:r>
              <w:rPr>
                <w:rFonts w:hint="eastAsia" w:ascii="Times New Roman" w:hAnsi="Times New Roman" w:cs="Times New Roman"/>
                <w:kern w:val="0"/>
                <w:sz w:val="18"/>
                <w:szCs w:val="18"/>
              </w:rPr>
              <w:t>、商业服务业用地</w:t>
            </w:r>
            <w:r>
              <w:rPr>
                <w:rFonts w:ascii="Times New Roman" w:hAnsi="Times New Roman" w:cs="Times New Roman"/>
                <w:kern w:val="0"/>
                <w:sz w:val="18"/>
                <w:szCs w:val="18"/>
              </w:rPr>
              <w:t>土壤环境质量要求</w:t>
            </w:r>
          </w:p>
        </w:tc>
        <w:tc>
          <w:tcPr>
            <w:tcW w:w="574"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南京大学环境规划设计研究院集团股份公司</w:t>
            </w:r>
          </w:p>
        </w:tc>
        <w:tc>
          <w:tcPr>
            <w:tcW w:w="48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2022.5.17</w:t>
            </w:r>
          </w:p>
        </w:tc>
      </w:tr>
      <w:tr>
        <w:tblPrEx>
          <w:tblBorders>
            <w:top w:val="singl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cantSplit/>
          <w:trHeight w:val="1484" w:hRule="atLeast"/>
          <w:jc w:val="center"/>
        </w:trPr>
        <w:tc>
          <w:tcPr>
            <w:tcW w:w="274" w:type="pc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1</w:t>
            </w:r>
            <w:r>
              <w:rPr>
                <w:rFonts w:ascii="Times New Roman" w:hAnsi="Times New Roman" w:cs="Times New Roman"/>
                <w:kern w:val="0"/>
                <w:sz w:val="18"/>
                <w:szCs w:val="18"/>
              </w:rPr>
              <w:t>0</w:t>
            </w:r>
          </w:p>
        </w:tc>
        <w:tc>
          <w:tcPr>
            <w:tcW w:w="507" w:type="pct"/>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kern w:val="0"/>
                <w:sz w:val="18"/>
                <w:szCs w:val="18"/>
              </w:rPr>
            </w:pPr>
            <w:r>
              <w:rPr>
                <w:rFonts w:hint="eastAsia" w:ascii="Times New Roman" w:hAnsi="Times New Roman" w:cs="Times New Roman"/>
                <w:kern w:val="0"/>
                <w:sz w:val="18"/>
                <w:szCs w:val="18"/>
              </w:rPr>
              <w:t>无锡锡兴特钢C地块</w:t>
            </w:r>
          </w:p>
        </w:tc>
        <w:tc>
          <w:tcPr>
            <w:tcW w:w="34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无锡</w:t>
            </w:r>
          </w:p>
        </w:tc>
        <w:tc>
          <w:tcPr>
            <w:tcW w:w="49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无锡市惠山区钱桥街道盛岸西路6</w:t>
            </w:r>
            <w:r>
              <w:rPr>
                <w:rFonts w:ascii="Times New Roman" w:hAnsi="Times New Roman" w:cs="Times New Roman"/>
                <w:kern w:val="0"/>
                <w:sz w:val="18"/>
                <w:szCs w:val="18"/>
              </w:rPr>
              <w:t>00</w:t>
            </w:r>
            <w:r>
              <w:rPr>
                <w:rFonts w:hint="eastAsia" w:ascii="Times New Roman" w:hAnsi="Times New Roman" w:cs="Times New Roman"/>
                <w:kern w:val="0"/>
                <w:sz w:val="18"/>
                <w:szCs w:val="18"/>
              </w:rPr>
              <w:t>号</w:t>
            </w:r>
          </w:p>
        </w:tc>
        <w:tc>
          <w:tcPr>
            <w:tcW w:w="7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东至洋溪路（规划道路），西至无锡锡兴特钢A2、A3 地块，南至洋溪河，北至无锡锡兴特钢B 地块</w:t>
            </w:r>
          </w:p>
        </w:tc>
        <w:tc>
          <w:tcPr>
            <w:tcW w:w="453"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72932</w:t>
            </w:r>
          </w:p>
        </w:tc>
        <w:tc>
          <w:tcPr>
            <w:tcW w:w="486"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无锡市惠山区土地收购储备中心</w:t>
            </w:r>
          </w:p>
        </w:tc>
        <w:tc>
          <w:tcPr>
            <w:tcW w:w="621"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满足居住用地</w:t>
            </w:r>
            <w:r>
              <w:rPr>
                <w:rFonts w:hint="eastAsia" w:ascii="Times New Roman" w:hAnsi="Times New Roman" w:cs="Times New Roman"/>
                <w:kern w:val="0"/>
                <w:sz w:val="18"/>
                <w:szCs w:val="18"/>
              </w:rPr>
              <w:t>、商业服务业用地</w:t>
            </w:r>
            <w:r>
              <w:rPr>
                <w:rFonts w:ascii="Times New Roman" w:hAnsi="Times New Roman" w:cs="Times New Roman"/>
                <w:kern w:val="0"/>
                <w:sz w:val="18"/>
                <w:szCs w:val="18"/>
              </w:rPr>
              <w:t>土壤环境质量要求</w:t>
            </w:r>
          </w:p>
        </w:tc>
        <w:tc>
          <w:tcPr>
            <w:tcW w:w="574"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南京大学环境规划设计研究院集团股份公司</w:t>
            </w:r>
          </w:p>
        </w:tc>
        <w:tc>
          <w:tcPr>
            <w:tcW w:w="487" w:type="pct"/>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2022.5.17</w:t>
            </w:r>
          </w:p>
        </w:tc>
      </w:tr>
    </w:tbl>
    <w:p>
      <w:pPr>
        <w:rPr>
          <w:rFonts w:ascii="Times New Roman" w:hAnsi="Times New Roman" w:cs="Times New Roman"/>
        </w:rPr>
      </w:pPr>
      <w:r>
        <w:rPr>
          <w:rFonts w:ascii="Times New Roman" w:hAnsi="Times New Roman" w:cs="Times New Roman"/>
        </w:rPr>
        <w:br w:type="page"/>
      </w:r>
    </w:p>
    <w:p>
      <w:pPr>
        <w:widowControl/>
        <w:spacing w:line="420" w:lineRule="atLeast"/>
        <w:ind w:right="465"/>
        <w:rPr>
          <w:rFonts w:ascii="Times New Roman" w:hAnsi="Times New Roman" w:eastAsia="黑体" w:cs="Times New Roman"/>
          <w:color w:val="000000"/>
          <w:kern w:val="0"/>
          <w:sz w:val="32"/>
          <w:szCs w:val="32"/>
        </w:rPr>
      </w:pPr>
      <w:r>
        <w:rPr>
          <w:rFonts w:ascii="Times New Roman" w:hAnsi="Times New Roman" w:eastAsia="黑体" w:cs="Times New Roman"/>
          <w:color w:val="000000"/>
          <w:kern w:val="0"/>
          <w:sz w:val="32"/>
          <w:szCs w:val="32"/>
        </w:rPr>
        <w:t>附件2</w:t>
      </w:r>
    </w:p>
    <w:p>
      <w:pPr>
        <w:widowControl/>
        <w:spacing w:line="420" w:lineRule="atLeast"/>
        <w:jc w:val="center"/>
        <w:rPr>
          <w:rFonts w:ascii="Times New Roman" w:hAnsi="Times New Roman" w:eastAsia="方正小标宋_GBK" w:cs="Times New Roman"/>
          <w:color w:val="4A4949"/>
          <w:kern w:val="0"/>
          <w:sz w:val="44"/>
          <w:szCs w:val="44"/>
        </w:rPr>
      </w:pPr>
      <w:r>
        <w:rPr>
          <w:rFonts w:ascii="Times New Roman" w:hAnsi="Times New Roman" w:eastAsia="方正小标宋_GBK" w:cs="Times New Roman"/>
          <w:color w:val="000000"/>
          <w:kern w:val="0"/>
          <w:sz w:val="36"/>
          <w:szCs w:val="36"/>
        </w:rPr>
        <w:t>江苏省建设用地土壤污染风险管控和修复名录移出清单（第</w:t>
      </w:r>
      <w:r>
        <w:rPr>
          <w:rFonts w:hint="eastAsia" w:ascii="Times New Roman" w:hAnsi="Times New Roman" w:eastAsia="方正小标宋_GBK" w:cs="Times New Roman"/>
          <w:color w:val="000000"/>
          <w:kern w:val="0"/>
          <w:sz w:val="36"/>
          <w:szCs w:val="36"/>
        </w:rPr>
        <w:t>七</w:t>
      </w:r>
      <w:r>
        <w:rPr>
          <w:rFonts w:ascii="Times New Roman" w:hAnsi="Times New Roman" w:eastAsia="方正小标宋_GBK" w:cs="Times New Roman"/>
          <w:color w:val="000000"/>
          <w:kern w:val="0"/>
          <w:sz w:val="36"/>
          <w:szCs w:val="36"/>
        </w:rPr>
        <w:t>批）</w:t>
      </w:r>
    </w:p>
    <w:tbl>
      <w:tblPr>
        <w:tblStyle w:val="7"/>
        <w:tblW w:w="4916" w:type="pct"/>
        <w:tblInd w:w="-47" w:type="dxa"/>
        <w:tblLayout w:type="autofit"/>
        <w:tblCellMar>
          <w:top w:w="0" w:type="dxa"/>
          <w:left w:w="108" w:type="dxa"/>
          <w:bottom w:w="0" w:type="dxa"/>
          <w:right w:w="108" w:type="dxa"/>
        </w:tblCellMar>
      </w:tblPr>
      <w:tblGrid>
        <w:gridCol w:w="741"/>
        <w:gridCol w:w="1026"/>
        <w:gridCol w:w="735"/>
        <w:gridCol w:w="1031"/>
        <w:gridCol w:w="1610"/>
        <w:gridCol w:w="887"/>
        <w:gridCol w:w="1156"/>
        <w:gridCol w:w="1004"/>
        <w:gridCol w:w="1177"/>
        <w:gridCol w:w="977"/>
        <w:gridCol w:w="1002"/>
        <w:gridCol w:w="1267"/>
        <w:gridCol w:w="1323"/>
      </w:tblGrid>
      <w:tr>
        <w:tblPrEx>
          <w:tblCellMar>
            <w:top w:w="0" w:type="dxa"/>
            <w:left w:w="108" w:type="dxa"/>
            <w:bottom w:w="0" w:type="dxa"/>
            <w:right w:w="108" w:type="dxa"/>
          </w:tblCellMar>
        </w:tblPrEx>
        <w:trPr>
          <w:cantSplit/>
          <w:trHeight w:val="567" w:hRule="atLeast"/>
          <w:tblHeader/>
        </w:trPr>
        <w:tc>
          <w:tcPr>
            <w:tcW w:w="74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序号</w:t>
            </w:r>
          </w:p>
        </w:tc>
        <w:tc>
          <w:tcPr>
            <w:tcW w:w="6445" w:type="dxa"/>
            <w:gridSpan w:val="6"/>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地块基本信息</w:t>
            </w:r>
          </w:p>
        </w:tc>
        <w:tc>
          <w:tcPr>
            <w:tcW w:w="5427" w:type="dxa"/>
            <w:gridSpan w:val="5"/>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风险管控或修复情况</w:t>
            </w:r>
          </w:p>
        </w:tc>
        <w:tc>
          <w:tcPr>
            <w:tcW w:w="132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移出日期</w:t>
            </w:r>
          </w:p>
        </w:tc>
      </w:tr>
      <w:tr>
        <w:trPr>
          <w:cantSplit/>
          <w:trHeight w:val="795" w:hRule="atLeast"/>
          <w:tblHeader/>
        </w:trPr>
        <w:tc>
          <w:tcPr>
            <w:tcW w:w="741"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Times New Roman" w:hAnsi="Times New Roman" w:cs="Times New Roman"/>
                <w:b/>
                <w:bCs/>
                <w:kern w:val="0"/>
                <w:sz w:val="18"/>
                <w:szCs w:val="18"/>
              </w:rPr>
            </w:pPr>
          </w:p>
        </w:tc>
        <w:tc>
          <w:tcPr>
            <w:tcW w:w="102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地块名称</w:t>
            </w:r>
          </w:p>
        </w:tc>
        <w:tc>
          <w:tcPr>
            <w:tcW w:w="735"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所在市</w:t>
            </w:r>
          </w:p>
        </w:tc>
        <w:tc>
          <w:tcPr>
            <w:tcW w:w="103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详细地址</w:t>
            </w:r>
          </w:p>
        </w:tc>
        <w:tc>
          <w:tcPr>
            <w:tcW w:w="16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四至范围</w:t>
            </w:r>
          </w:p>
        </w:tc>
        <w:tc>
          <w:tcPr>
            <w:tcW w:w="88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地块面积（m2）</w:t>
            </w:r>
          </w:p>
        </w:tc>
        <w:tc>
          <w:tcPr>
            <w:tcW w:w="115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土地使用权人</w:t>
            </w:r>
          </w:p>
        </w:tc>
        <w:tc>
          <w:tcPr>
            <w:tcW w:w="1004"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风险管控或修复目标</w:t>
            </w:r>
          </w:p>
        </w:tc>
        <w:tc>
          <w:tcPr>
            <w:tcW w:w="11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风险管控或修复方案编制单位</w:t>
            </w:r>
          </w:p>
        </w:tc>
        <w:tc>
          <w:tcPr>
            <w:tcW w:w="9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风险管控或修复单位</w:t>
            </w:r>
          </w:p>
        </w:tc>
        <w:tc>
          <w:tcPr>
            <w:tcW w:w="1002"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风险管控或修复委托人</w:t>
            </w:r>
          </w:p>
        </w:tc>
        <w:tc>
          <w:tcPr>
            <w:tcW w:w="126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b/>
                <w:bCs/>
                <w:kern w:val="0"/>
                <w:sz w:val="18"/>
                <w:szCs w:val="18"/>
              </w:rPr>
            </w:pPr>
            <w:r>
              <w:rPr>
                <w:rFonts w:ascii="Times New Roman" w:hAnsi="Times New Roman" w:cs="Times New Roman"/>
                <w:b/>
                <w:bCs/>
                <w:kern w:val="0"/>
                <w:sz w:val="18"/>
                <w:szCs w:val="18"/>
              </w:rPr>
              <w:t>风险管控或修复效果评估单位</w:t>
            </w:r>
          </w:p>
        </w:tc>
        <w:tc>
          <w:tcPr>
            <w:tcW w:w="132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Times New Roman" w:hAnsi="Times New Roman" w:cs="Times New Roman"/>
                <w:b/>
                <w:bCs/>
                <w:kern w:val="0"/>
                <w:sz w:val="18"/>
                <w:szCs w:val="18"/>
              </w:rPr>
            </w:pPr>
          </w:p>
        </w:tc>
      </w:tr>
      <w:tr>
        <w:tblPrEx>
          <w:tblCellMar>
            <w:top w:w="0" w:type="dxa"/>
            <w:left w:w="108" w:type="dxa"/>
            <w:bottom w:w="0" w:type="dxa"/>
            <w:right w:w="108" w:type="dxa"/>
          </w:tblCellMar>
        </w:tblPrEx>
        <w:trPr>
          <w:cantSplit/>
          <w:trHeight w:val="1218" w:hRule="atLeast"/>
        </w:trPr>
        <w:tc>
          <w:tcPr>
            <w:tcW w:w="741" w:type="dxa"/>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1</w:t>
            </w:r>
          </w:p>
        </w:tc>
        <w:tc>
          <w:tcPr>
            <w:tcW w:w="102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原南京铁合金厂铁路货场地块</w:t>
            </w:r>
          </w:p>
        </w:tc>
        <w:tc>
          <w:tcPr>
            <w:tcW w:w="735"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南京</w:t>
            </w:r>
          </w:p>
        </w:tc>
        <w:tc>
          <w:tcPr>
            <w:tcW w:w="1031"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南京市栖霞区和燕路436号</w:t>
            </w:r>
          </w:p>
        </w:tc>
        <w:tc>
          <w:tcPr>
            <w:tcW w:w="16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北起神农路南侧山坡，东临衡山路（规划），南毗珠海路，西接嵩山路</w:t>
            </w:r>
          </w:p>
        </w:tc>
        <w:tc>
          <w:tcPr>
            <w:tcW w:w="88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41000</w:t>
            </w:r>
          </w:p>
        </w:tc>
        <w:tc>
          <w:tcPr>
            <w:tcW w:w="1156"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南京市土地储备中心</w:t>
            </w:r>
          </w:p>
        </w:tc>
        <w:tc>
          <w:tcPr>
            <w:tcW w:w="1004"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满足居住用地、公用设施用地土壤环境质量要求</w:t>
            </w:r>
          </w:p>
        </w:tc>
        <w:tc>
          <w:tcPr>
            <w:tcW w:w="11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江苏润环环境科技有限公司</w:t>
            </w:r>
          </w:p>
        </w:tc>
        <w:tc>
          <w:tcPr>
            <w:tcW w:w="97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航天凯天环保科技股份有限公司</w:t>
            </w:r>
          </w:p>
        </w:tc>
        <w:tc>
          <w:tcPr>
            <w:tcW w:w="1002"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南京城建土地整理开发有限公司</w:t>
            </w:r>
          </w:p>
        </w:tc>
        <w:tc>
          <w:tcPr>
            <w:tcW w:w="1267"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hint="eastAsia" w:ascii="Times New Roman" w:hAnsi="Times New Roman" w:cs="Times New Roman"/>
                <w:kern w:val="0"/>
                <w:sz w:val="18"/>
                <w:szCs w:val="18"/>
              </w:rPr>
              <w:t>江苏环保产业技术研究院股份公司</w:t>
            </w:r>
          </w:p>
        </w:tc>
        <w:tc>
          <w:tcPr>
            <w:tcW w:w="1323"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cs="Times New Roman"/>
                <w:kern w:val="0"/>
                <w:sz w:val="18"/>
                <w:szCs w:val="18"/>
              </w:rPr>
            </w:pPr>
            <w:r>
              <w:rPr>
                <w:rFonts w:ascii="Times New Roman" w:hAnsi="Times New Roman" w:cs="Times New Roman"/>
                <w:kern w:val="0"/>
                <w:sz w:val="18"/>
                <w:szCs w:val="18"/>
              </w:rPr>
              <w:t>2022.5.14</w:t>
            </w:r>
          </w:p>
        </w:tc>
      </w:tr>
    </w:tbl>
    <w:p>
      <w:pPr>
        <w:rPr>
          <w:rFonts w:ascii="Times New Roman" w:hAnsi="Times New Roman" w:cs="Times New Roman"/>
          <w:sz w:val="24"/>
        </w:rPr>
      </w:pPr>
      <w:r>
        <w:rPr>
          <w:rFonts w:ascii="Times New Roman" w:hAnsi="Times New Roman" w:cs="Times New Roman"/>
          <w:sz w:val="24"/>
        </w:rPr>
        <w:t>环保举报电话：12369。</w:t>
      </w:r>
      <w:bookmarkStart w:id="2" w:name="_GoBack"/>
      <w:bookmarkEnd w:id="2"/>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黑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01245908"/>
    </w:sdtPr>
    <w:sdtEndPr>
      <w:rPr>
        <w:rFonts w:ascii="Times New Roman" w:hAnsi="Times New Roman" w:cs="Times New Roman"/>
        <w:sz w:val="21"/>
        <w:szCs w:val="21"/>
      </w:rPr>
    </w:sdtEndPr>
    <w:sdtContent>
      <w:p>
        <w:pPr>
          <w:pStyle w:val="4"/>
          <w:jc w:val="center"/>
          <w:rPr>
            <w:rFonts w:ascii="Times New Roman" w:hAnsi="Times New Roman" w:cs="Times New Roman"/>
            <w:sz w:val="21"/>
            <w:szCs w:val="21"/>
          </w:rP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PAGE   \* MERGEFORMAT</w:instrText>
        </w:r>
        <w:r>
          <w:rPr>
            <w:rFonts w:ascii="Times New Roman" w:hAnsi="Times New Roman" w:cs="Times New Roman"/>
            <w:sz w:val="21"/>
            <w:szCs w:val="21"/>
          </w:rPr>
          <w:fldChar w:fldCharType="separate"/>
        </w:r>
        <w:r>
          <w:rPr>
            <w:rFonts w:ascii="Times New Roman" w:hAnsi="Times New Roman" w:cs="Times New Roman"/>
            <w:sz w:val="21"/>
            <w:szCs w:val="21"/>
            <w:lang w:val="zh-CN"/>
          </w:rPr>
          <w:t>6</w:t>
        </w:r>
        <w:r>
          <w:rPr>
            <w:rFonts w:ascii="Times New Roman" w:hAnsi="Times New Roman" w:cs="Times New Roman"/>
            <w:sz w:val="21"/>
            <w:szCs w:val="21"/>
          </w:rPr>
          <w:fldChar w:fldCharType="end"/>
        </w:r>
      </w:p>
    </w:sdtContent>
  </w:sdt>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docVars>
    <w:docVar w:name="commondata" w:val="eyJoZGlkIjoiY2NhNWVmZjg5NjUxMmFiMWMwMGNkODE0ZTdmYThjYjYifQ=="/>
  </w:docVars>
  <w:rsids>
    <w:rsidRoot w:val="00947464"/>
    <w:rsid w:val="000177EB"/>
    <w:rsid w:val="000254EE"/>
    <w:rsid w:val="00061E82"/>
    <w:rsid w:val="00087B6F"/>
    <w:rsid w:val="000E2FD0"/>
    <w:rsid w:val="000E335E"/>
    <w:rsid w:val="000E6CBD"/>
    <w:rsid w:val="00167689"/>
    <w:rsid w:val="00180F84"/>
    <w:rsid w:val="001931C0"/>
    <w:rsid w:val="001A7EFE"/>
    <w:rsid w:val="001B1C52"/>
    <w:rsid w:val="001C042D"/>
    <w:rsid w:val="00206375"/>
    <w:rsid w:val="002633A3"/>
    <w:rsid w:val="00280425"/>
    <w:rsid w:val="00284109"/>
    <w:rsid w:val="002D46AC"/>
    <w:rsid w:val="002D6DDC"/>
    <w:rsid w:val="002E5E01"/>
    <w:rsid w:val="002F57C6"/>
    <w:rsid w:val="00322C99"/>
    <w:rsid w:val="0033278F"/>
    <w:rsid w:val="00377357"/>
    <w:rsid w:val="003777BF"/>
    <w:rsid w:val="0038208D"/>
    <w:rsid w:val="00397A44"/>
    <w:rsid w:val="003B37BE"/>
    <w:rsid w:val="003E7819"/>
    <w:rsid w:val="003F064A"/>
    <w:rsid w:val="003F0D57"/>
    <w:rsid w:val="0043319F"/>
    <w:rsid w:val="00451BA5"/>
    <w:rsid w:val="004E2991"/>
    <w:rsid w:val="00513D04"/>
    <w:rsid w:val="005C2C6F"/>
    <w:rsid w:val="005E0CF3"/>
    <w:rsid w:val="006016EF"/>
    <w:rsid w:val="00642F7B"/>
    <w:rsid w:val="00660D84"/>
    <w:rsid w:val="006617BB"/>
    <w:rsid w:val="006C0EA0"/>
    <w:rsid w:val="006C547F"/>
    <w:rsid w:val="006D3AC6"/>
    <w:rsid w:val="006D3BED"/>
    <w:rsid w:val="006F485A"/>
    <w:rsid w:val="007939BA"/>
    <w:rsid w:val="00865CBA"/>
    <w:rsid w:val="0087663A"/>
    <w:rsid w:val="008D4AC5"/>
    <w:rsid w:val="008E3853"/>
    <w:rsid w:val="00923511"/>
    <w:rsid w:val="009372F5"/>
    <w:rsid w:val="00943EC1"/>
    <w:rsid w:val="00947464"/>
    <w:rsid w:val="00977AA2"/>
    <w:rsid w:val="00994FF6"/>
    <w:rsid w:val="009A2DC8"/>
    <w:rsid w:val="009B5AB4"/>
    <w:rsid w:val="009D4E42"/>
    <w:rsid w:val="009F1963"/>
    <w:rsid w:val="009F3A6D"/>
    <w:rsid w:val="00A02B68"/>
    <w:rsid w:val="00A1114C"/>
    <w:rsid w:val="00A24DF9"/>
    <w:rsid w:val="00A828CF"/>
    <w:rsid w:val="00AD0439"/>
    <w:rsid w:val="00B139E3"/>
    <w:rsid w:val="00B170B5"/>
    <w:rsid w:val="00B275E5"/>
    <w:rsid w:val="00B37402"/>
    <w:rsid w:val="00B5605E"/>
    <w:rsid w:val="00B61795"/>
    <w:rsid w:val="00B937DD"/>
    <w:rsid w:val="00B9525A"/>
    <w:rsid w:val="00BF7223"/>
    <w:rsid w:val="00C03E7C"/>
    <w:rsid w:val="00C146DA"/>
    <w:rsid w:val="00C376EC"/>
    <w:rsid w:val="00C514AD"/>
    <w:rsid w:val="00C853AA"/>
    <w:rsid w:val="00D14FB4"/>
    <w:rsid w:val="00D86633"/>
    <w:rsid w:val="00D963F0"/>
    <w:rsid w:val="00DB48D7"/>
    <w:rsid w:val="00DE448A"/>
    <w:rsid w:val="00E22063"/>
    <w:rsid w:val="00E402A1"/>
    <w:rsid w:val="00E42C23"/>
    <w:rsid w:val="00E45E23"/>
    <w:rsid w:val="00E543E8"/>
    <w:rsid w:val="00E72DC1"/>
    <w:rsid w:val="00E90890"/>
    <w:rsid w:val="00EB4B43"/>
    <w:rsid w:val="00EF0E92"/>
    <w:rsid w:val="00F11B46"/>
    <w:rsid w:val="00F20693"/>
    <w:rsid w:val="00F30285"/>
    <w:rsid w:val="00F42856"/>
    <w:rsid w:val="00F74534"/>
    <w:rsid w:val="00F8270F"/>
    <w:rsid w:val="06197EE6"/>
    <w:rsid w:val="09025AF7"/>
    <w:rsid w:val="0E8E38DB"/>
    <w:rsid w:val="12015E8C"/>
    <w:rsid w:val="157D0CDF"/>
    <w:rsid w:val="166126E8"/>
    <w:rsid w:val="1CD60881"/>
    <w:rsid w:val="26211FFE"/>
    <w:rsid w:val="2F012479"/>
    <w:rsid w:val="321C5B7E"/>
    <w:rsid w:val="35171B08"/>
    <w:rsid w:val="36977D9B"/>
    <w:rsid w:val="39234169"/>
    <w:rsid w:val="3B5C61DE"/>
    <w:rsid w:val="3B692C05"/>
    <w:rsid w:val="3D3D57D0"/>
    <w:rsid w:val="3DB516EA"/>
    <w:rsid w:val="3DDF0DB3"/>
    <w:rsid w:val="3E5C015E"/>
    <w:rsid w:val="454A1CB9"/>
    <w:rsid w:val="52EC797A"/>
    <w:rsid w:val="54CD1012"/>
    <w:rsid w:val="55975ECB"/>
    <w:rsid w:val="56A8574D"/>
    <w:rsid w:val="56DA211D"/>
    <w:rsid w:val="577E0B7F"/>
    <w:rsid w:val="57CD411B"/>
    <w:rsid w:val="5CF03E61"/>
    <w:rsid w:val="5FB90F57"/>
    <w:rsid w:val="661D2ADE"/>
    <w:rsid w:val="66BD23B2"/>
    <w:rsid w:val="68C85D67"/>
    <w:rsid w:val="6EF95A2D"/>
    <w:rsid w:val="6FC37288"/>
    <w:rsid w:val="71C42726"/>
    <w:rsid w:val="7AF4536E"/>
    <w:rsid w:val="7B8436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99" w:semiHidden="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qFormat="1"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3"/>
    <w:basedOn w:val="1"/>
    <w:next w:val="1"/>
    <w:link w:val="10"/>
    <w:qFormat/>
    <w:uiPriority w:val="9"/>
    <w:pPr>
      <w:widowControl/>
      <w:spacing w:before="100" w:beforeAutospacing="1" w:after="100" w:afterAutospacing="1"/>
      <w:jc w:val="left"/>
      <w:outlineLvl w:val="2"/>
    </w:pPr>
    <w:rPr>
      <w:rFonts w:ascii="宋体" w:hAnsi="宋体" w:cs="宋体"/>
      <w:b/>
      <w:bCs/>
      <w:kern w:val="0"/>
      <w:sz w:val="27"/>
      <w:szCs w:val="27"/>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3">
    <w:name w:val="Balloon Text"/>
    <w:basedOn w:val="1"/>
    <w:link w:val="17"/>
    <w:semiHidden/>
    <w:unhideWhenUsed/>
    <w:uiPriority w:val="0"/>
    <w:rPr>
      <w:sz w:val="18"/>
      <w:szCs w:val="18"/>
    </w:rPr>
  </w:style>
  <w:style w:type="paragraph" w:styleId="4">
    <w:name w:val="footer"/>
    <w:basedOn w:val="1"/>
    <w:link w:val="15"/>
    <w:unhideWhenUsed/>
    <w:qFormat/>
    <w:uiPriority w:val="99"/>
    <w:pPr>
      <w:tabs>
        <w:tab w:val="center" w:pos="4153"/>
        <w:tab w:val="right" w:pos="8306"/>
      </w:tabs>
      <w:snapToGrid w:val="0"/>
      <w:jc w:val="left"/>
    </w:pPr>
    <w:rPr>
      <w:sz w:val="18"/>
      <w:szCs w:val="18"/>
    </w:rPr>
  </w:style>
  <w:style w:type="paragraph" w:styleId="5">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character" w:styleId="9">
    <w:name w:val="Hyperlink"/>
    <w:basedOn w:val="8"/>
    <w:unhideWhenUsed/>
    <w:qFormat/>
    <w:uiPriority w:val="99"/>
    <w:rPr>
      <w:color w:val="0000FF"/>
      <w:u w:val="single"/>
    </w:rPr>
  </w:style>
  <w:style w:type="character" w:customStyle="1" w:styleId="10">
    <w:name w:val="标题 3 Char"/>
    <w:basedOn w:val="8"/>
    <w:link w:val="2"/>
    <w:qFormat/>
    <w:uiPriority w:val="9"/>
    <w:rPr>
      <w:rFonts w:ascii="宋体" w:hAnsi="宋体" w:eastAsia="宋体" w:cs="宋体"/>
      <w:b/>
      <w:bCs/>
      <w:kern w:val="0"/>
      <w:sz w:val="27"/>
      <w:szCs w:val="27"/>
    </w:rPr>
  </w:style>
  <w:style w:type="character" w:customStyle="1" w:styleId="11">
    <w:name w:val="time"/>
    <w:basedOn w:val="8"/>
    <w:qFormat/>
    <w:uiPriority w:val="0"/>
  </w:style>
  <w:style w:type="character" w:customStyle="1" w:styleId="12">
    <w:name w:val="apple-converted-space"/>
    <w:basedOn w:val="8"/>
    <w:qFormat/>
    <w:uiPriority w:val="0"/>
  </w:style>
  <w:style w:type="character" w:customStyle="1" w:styleId="13">
    <w:name w:val="sizes"/>
    <w:basedOn w:val="8"/>
    <w:qFormat/>
    <w:uiPriority w:val="0"/>
  </w:style>
  <w:style w:type="character" w:customStyle="1" w:styleId="14">
    <w:name w:val="页眉 Char"/>
    <w:basedOn w:val="8"/>
    <w:link w:val="5"/>
    <w:qFormat/>
    <w:uiPriority w:val="99"/>
    <w:rPr>
      <w:sz w:val="18"/>
      <w:szCs w:val="18"/>
    </w:rPr>
  </w:style>
  <w:style w:type="character" w:customStyle="1" w:styleId="15">
    <w:name w:val="页脚 Char"/>
    <w:basedOn w:val="8"/>
    <w:link w:val="4"/>
    <w:qFormat/>
    <w:uiPriority w:val="99"/>
    <w:rPr>
      <w:sz w:val="18"/>
      <w:szCs w:val="18"/>
    </w:rPr>
  </w:style>
  <w:style w:type="character" w:customStyle="1" w:styleId="16">
    <w:name w:val="content-right_8zs40"/>
    <w:basedOn w:val="8"/>
    <w:qFormat/>
    <w:uiPriority w:val="0"/>
  </w:style>
  <w:style w:type="character" w:customStyle="1" w:styleId="17">
    <w:name w:val="批注框文本 Char"/>
    <w:basedOn w:val="8"/>
    <w:link w:val="3"/>
    <w:semiHidden/>
    <w:uiPriority w:val="0"/>
    <w:rPr>
      <w:rFonts w:ascii="Calibri" w:hAnsi="Calibri" w:cs="黑体"/>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2F6EF8-0E25-4F84-91F8-443E3BCE2239}">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6</Pages>
  <Words>2244</Words>
  <Characters>2419</Characters>
  <Lines>18</Lines>
  <Paragraphs>5</Paragraphs>
  <TotalTime>160</TotalTime>
  <ScaleCrop>false</ScaleCrop>
  <LinksUpToDate>false</LinksUpToDate>
  <CharactersWithSpaces>2482</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2020-08-05T06:40:00Z</dcterms:created>
  <dc:creator>正版用户</dc:creator>
  <cp:lastModifiedBy>LY</cp:lastModifiedBy>
  <cp:lastPrinted>2021-07-12T01:56:00Z</cp:lastPrinted>
  <dcterms:modified xsi:type="dcterms:W3CDTF">2022-06-28T07:00:55Z</dcterms:modified>
  <dc:title>省生态环境厅 省自然资源厅</dc:title>
  <cp:revision>47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AE1B013CF706404CB3117009CF9D6697</vt:lpwstr>
  </property>
</Properties>
</file>