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2C0D27" w14:textId="77777777" w:rsidR="006A68C3" w:rsidRDefault="00000000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省生态环境厅</w:t>
      </w:r>
      <w:r>
        <w:rPr>
          <w:rFonts w:ascii="Times New Roman" w:eastAsia="方正小标宋_GBK" w:hAnsi="Times New Roman" w:cs="Times New Roman"/>
          <w:sz w:val="44"/>
          <w:szCs w:val="44"/>
        </w:rPr>
        <w:t xml:space="preserve">  </w:t>
      </w:r>
      <w:r>
        <w:rPr>
          <w:rFonts w:ascii="Times New Roman" w:eastAsia="方正小标宋_GBK" w:hAnsi="Times New Roman" w:cs="Times New Roman"/>
          <w:sz w:val="44"/>
          <w:szCs w:val="44"/>
        </w:rPr>
        <w:t>省财政厅关于印发《江苏省生态安全缓冲区工程试点补助办法（试行）》的通知</w:t>
      </w:r>
    </w:p>
    <w:p w14:paraId="06013271" w14:textId="77777777" w:rsidR="006A68C3" w:rsidRDefault="006A68C3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76F8BF09" w14:textId="77777777" w:rsidR="006A68C3" w:rsidRDefault="00000000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各设区市生态环境局、财政局，各设区市生态环境局派出机构，各县（市）财政局：</w:t>
      </w:r>
    </w:p>
    <w:p w14:paraId="3FC5BFFE" w14:textId="77777777" w:rsidR="006A68C3" w:rsidRDefault="00000000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为创新生态环境治理模式，进一步改善生态环境质量，降低治污成本，充分发挥自然生态系统对达标污染物的净化降解功能，提高生态环境容量，根据《江苏省生态安全缓冲区建设管理办法（试行）及建设技术指南》（苏环办〔</w:t>
      </w:r>
      <w:r>
        <w:rPr>
          <w:rFonts w:ascii="Times New Roman" w:eastAsia="方正仿宋_GBK" w:hAnsi="Times New Roman" w:cs="Times New Roman"/>
          <w:sz w:val="32"/>
          <w:szCs w:val="32"/>
        </w:rPr>
        <w:t>2021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49</w:t>
      </w:r>
      <w:r>
        <w:rPr>
          <w:rFonts w:ascii="Times New Roman" w:eastAsia="方正仿宋_GBK" w:hAnsi="Times New Roman" w:cs="Times New Roman"/>
          <w:sz w:val="32"/>
          <w:szCs w:val="32"/>
        </w:rPr>
        <w:t>号），省生态环境厅会同省财政厅研究制定了《江苏省生态安全缓冲区工程试点补助办法（试行）》，现印发给你们，请遵照执行。</w:t>
      </w:r>
    </w:p>
    <w:p w14:paraId="206359B4" w14:textId="77777777" w:rsidR="006A68C3" w:rsidRDefault="006A68C3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1E750D7C" w14:textId="77777777" w:rsidR="006A68C3" w:rsidRDefault="006A68C3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0B92FF47" w14:textId="77777777" w:rsidR="006A68C3" w:rsidRDefault="00000000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江苏省生态环境厅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   </w:t>
      </w:r>
      <w:r>
        <w:rPr>
          <w:rFonts w:ascii="Times New Roman" w:eastAsia="方正仿宋_GBK" w:hAnsi="Times New Roman" w:cs="Times New Roman"/>
          <w:sz w:val="32"/>
          <w:szCs w:val="32"/>
        </w:rPr>
        <w:t>江苏省财政厅</w:t>
      </w:r>
    </w:p>
    <w:p w14:paraId="2158073C" w14:textId="77777777" w:rsidR="006A68C3" w:rsidRDefault="00000000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2021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日</w:t>
      </w:r>
    </w:p>
    <w:p w14:paraId="491A445D" w14:textId="77777777" w:rsidR="006A68C3" w:rsidRDefault="00000000">
      <w:pPr>
        <w:widowControl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/>
          <w:b/>
          <w:sz w:val="36"/>
          <w:szCs w:val="36"/>
        </w:rPr>
        <w:br w:type="page"/>
      </w:r>
    </w:p>
    <w:p w14:paraId="0FBD8D23" w14:textId="77777777" w:rsidR="006A68C3" w:rsidRDefault="006A68C3">
      <w:pPr>
        <w:pStyle w:val="ad"/>
        <w:adjustRightInd w:val="0"/>
        <w:snapToGrid w:val="0"/>
        <w:spacing w:before="0" w:line="590" w:lineRule="exact"/>
        <w:ind w:right="0"/>
        <w:rPr>
          <w:rFonts w:ascii="Times New Roman" w:eastAsia="方正小标宋_GBK" w:hAnsi="Times New Roman" w:cs="Times New Roman"/>
          <w:b/>
          <w:sz w:val="36"/>
          <w:szCs w:val="36"/>
          <w:lang w:eastAsia="zh-CN"/>
        </w:rPr>
      </w:pPr>
    </w:p>
    <w:p w14:paraId="75DC3A06" w14:textId="77777777" w:rsidR="006A68C3" w:rsidRDefault="00000000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江苏省生态安全缓冲区工程试点补助办法</w:t>
      </w:r>
    </w:p>
    <w:p w14:paraId="1CAAEEDE" w14:textId="77777777" w:rsidR="006A68C3" w:rsidRDefault="00000000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（试行）</w:t>
      </w:r>
    </w:p>
    <w:p w14:paraId="649A89B2" w14:textId="77777777" w:rsidR="006A68C3" w:rsidRDefault="006A68C3">
      <w:pPr>
        <w:pStyle w:val="a3"/>
        <w:adjustRightInd w:val="0"/>
        <w:snapToGrid w:val="0"/>
        <w:spacing w:line="590" w:lineRule="exact"/>
        <w:ind w:left="0"/>
        <w:rPr>
          <w:rFonts w:ascii="Times New Roman" w:eastAsia="仿宋" w:hAnsi="Times New Roman" w:cs="Times New Roman"/>
          <w:b/>
          <w:sz w:val="28"/>
          <w:szCs w:val="28"/>
          <w:lang w:eastAsia="zh-CN"/>
        </w:rPr>
      </w:pPr>
    </w:p>
    <w:p w14:paraId="17A163B5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第一条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为创新生态环境治理模式，进一步改善生态环境质量，降低治污成本，充分发挥自然生态系统对达标污染物的净化降解功能，提高生态环境容量，根据《中华人民共和国预算法》《江苏省水污染防治条例》《江苏省省级财政专项资金管理办法》等有关</w:t>
      </w:r>
      <w:r>
        <w:rPr>
          <w:rFonts w:ascii="Times New Roman" w:hAnsi="Times New Roman" w:cs="Times New Roman"/>
          <w:lang w:eastAsia="zh-Hans"/>
        </w:rPr>
        <w:t>规定</w:t>
      </w:r>
      <w:r>
        <w:rPr>
          <w:rFonts w:ascii="Times New Roman" w:hAnsi="Times New Roman" w:cs="Times New Roman"/>
          <w:lang w:eastAsia="zh-CN"/>
        </w:rPr>
        <w:t>，制定本办法。</w:t>
      </w:r>
    </w:p>
    <w:p w14:paraId="257ADBC4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第二条</w:t>
      </w:r>
      <w:r>
        <w:rPr>
          <w:rFonts w:ascii="Times New Roman" w:eastAsia="黑体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生态安全缓冲区</w:t>
      </w:r>
      <w:r>
        <w:rPr>
          <w:rFonts w:ascii="Times New Roman" w:hAnsi="Times New Roman" w:cs="Times New Roman"/>
          <w:lang w:eastAsia="zh-Hans"/>
        </w:rPr>
        <w:t>是</w:t>
      </w:r>
      <w:r>
        <w:rPr>
          <w:rFonts w:ascii="Times New Roman" w:hAnsi="Times New Roman" w:cs="Times New Roman"/>
          <w:lang w:eastAsia="zh-CN"/>
        </w:rPr>
        <w:t>指生态空间中具有消纳、降解和净化环境污染，抵御、缓解和降低生态影响的过渡地带，包括具有涵养水源、维护生物多样性、稳定生态功能等生态功能区。</w:t>
      </w:r>
    </w:p>
    <w:p w14:paraId="754DACD7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方正黑体_GBK" w:hAnsi="Times New Roman" w:cs="Times New Roman"/>
          <w:lang w:eastAsia="zh-CN"/>
        </w:rPr>
        <w:t>第三条</w:t>
      </w:r>
      <w:r>
        <w:rPr>
          <w:rFonts w:ascii="Times New Roman" w:hAnsi="Times New Roman" w:cs="Times New Roman"/>
          <w:lang w:eastAsia="zh-CN"/>
        </w:rPr>
        <w:t xml:space="preserve">  </w:t>
      </w:r>
      <w:r>
        <w:rPr>
          <w:rFonts w:ascii="Times New Roman" w:eastAsia="黑体" w:hAnsi="Times New Roman" w:cs="Times New Roman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生态安全缓冲区建设的总体思路为坚持</w:t>
      </w:r>
      <w:r>
        <w:rPr>
          <w:rFonts w:ascii="Times New Roman" w:hAnsi="Times New Roman" w:cs="Times New Roman"/>
          <w:lang w:eastAsia="zh-Hans"/>
        </w:rPr>
        <w:t>保护优先、自然恢复为主，优化生态空间格局，充分利用自然降解和恢复能力，扩大生态环境容量，降低治污成本，有效保护自然生态禀赋，筑牢生态安全屏障。</w:t>
      </w:r>
    </w:p>
    <w:p w14:paraId="3FECAE9D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四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eastAsia="黑体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生态安全缓冲区可划分为四种类型。</w:t>
      </w:r>
    </w:p>
    <w:p w14:paraId="75F39646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（一）生态净化型。在城镇污水集中处理厂边缘，通过建设自然湿地或修复人工湿地等途径，对达标处理后的一级</w:t>
      </w:r>
      <w:r>
        <w:rPr>
          <w:rFonts w:ascii="Times New Roman" w:hAnsi="Times New Roman" w:cs="Times New Roman"/>
          <w:lang w:eastAsia="zh-CN"/>
        </w:rPr>
        <w:t>A</w:t>
      </w:r>
      <w:r>
        <w:rPr>
          <w:rFonts w:ascii="Times New Roman" w:hAnsi="Times New Roman" w:cs="Times New Roman"/>
          <w:lang w:eastAsia="zh-CN"/>
        </w:rPr>
        <w:t>尾水进行生态降解削减，进一步减轻氮、磷等污染物对河流湖泊水体的冲击。</w:t>
      </w:r>
    </w:p>
    <w:p w14:paraId="1CD8E215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（二）生态涵养型。在重要江河湖海出入口、重要水源</w:t>
      </w:r>
      <w:r>
        <w:rPr>
          <w:rFonts w:ascii="Times New Roman" w:hAnsi="Times New Roman" w:cs="Times New Roman"/>
          <w:lang w:eastAsia="zh-CN"/>
        </w:rPr>
        <w:lastRenderedPageBreak/>
        <w:t>涵养区、清水通道维护区等处，通过修筑生态岸线（驳岸）、建设浅滩湿地、退渔（田）还湿、种植耐污植物等途径，建设河湖生态缓冲带，打造生态廊道，进一步降低污染负荷，提升生态功能，提高生态环境承载力，改善流域水环境质量。</w:t>
      </w:r>
    </w:p>
    <w:p w14:paraId="476613C6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（三）生态修复型。针对生态安全缓冲区内已腾退、搬迁的重污染区块，开展受污染土壤、水体的治理修复，消除有毒有害物质，实现污染物的达标排放，使区块满足生态安全缓冲功能要求。</w:t>
      </w:r>
    </w:p>
    <w:p w14:paraId="32116C18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四）生态保护型。在工业聚集区、聚集的生产型村落、城郊结合部、农村连片整治地等外围边缘地带，划出一定的生态保护范围，整合湿地、水网、林草等自然要素，以郊野公园建设为主体，建设生态隔离带，维护生态平衡。</w:t>
      </w:r>
    </w:p>
    <w:p w14:paraId="616CB467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五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生态安全缓冲区试点项目以市县投入为主，省级财政予以补助。</w:t>
      </w:r>
    </w:p>
    <w:p w14:paraId="2251AB89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六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补助资金由省财政厅和省生态环境厅共同管理。</w:t>
      </w:r>
    </w:p>
    <w:p w14:paraId="322E71A0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（一）省财政厅负责补助资金年度预算安排，会同省生态环境厅下达补助资金。</w:t>
      </w:r>
    </w:p>
    <w:p w14:paraId="3AC9CC36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（二）省生态环境厅负责提出补助资金年度分配建议，对补助资金使用和管理进行监督，组织开展补助资金绩效评价。</w:t>
      </w:r>
    </w:p>
    <w:p w14:paraId="6AABF939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七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项目资金申报主体对项目资金申报、实施的真实性、可行性、合规性和完整性负责，是项目实施和资金</w:t>
      </w:r>
      <w:r>
        <w:rPr>
          <w:rFonts w:ascii="Times New Roman" w:hAnsi="Times New Roman" w:cs="Times New Roman"/>
          <w:lang w:eastAsia="zh-CN"/>
        </w:rPr>
        <w:lastRenderedPageBreak/>
        <w:t>使用管理的责任主体。依法依规组织项目实施，按规定使用项目资金，负责项目资金的财务管理和会计核算，主动接受和配合相关部门对项目实施绩效评价、监督检查和审计等工作。</w:t>
      </w:r>
    </w:p>
    <w:p w14:paraId="6284F618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snapToGrid w:val="0"/>
          <w:szCs w:val="36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八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省生态环境厅会省财政厅组织开展试点申报。设区市生态环境局负责组织项目申报和初审，将符合条件的项目上报省生态环境厅。对通过审核的试点项目，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根据生态安全缓冲区的处理规模和出水水质两个方面确定补助金额，其中：项目处理规模补助金额不超过平均万吨水建设成本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×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所接纳尾水量的三分之一；项目出水水质补助金额不超过平均万吨水运维成本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×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所接纳尾水量的三分之一。</w:t>
      </w:r>
    </w:p>
    <w:p w14:paraId="21E1D043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</w:t>
      </w:r>
      <w:r>
        <w:rPr>
          <w:rFonts w:ascii="Times New Roman" w:eastAsia="黑体" w:hAnsi="Times New Roman" w:cs="Times New Roman"/>
          <w:lang w:eastAsia="zh-Hans"/>
        </w:rPr>
        <w:t>九</w:t>
      </w:r>
      <w:r>
        <w:rPr>
          <w:rFonts w:ascii="Times New Roman" w:eastAsia="黑体" w:hAnsi="Times New Roman" w:cs="Times New Roman"/>
          <w:lang w:eastAsia="zh-CN"/>
        </w:rPr>
        <w:t>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围绕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生态安全缓冲区</w:t>
      </w:r>
      <w:r>
        <w:rPr>
          <w:rFonts w:ascii="Times New Roman" w:hAnsi="Times New Roman" w:cs="Times New Roman"/>
          <w:lang w:eastAsia="zh-CN"/>
        </w:rPr>
        <w:t>项目实施及运维等内容，补助资金可以用于：</w:t>
      </w:r>
    </w:p>
    <w:p w14:paraId="6EFF5023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（一）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生态安全缓冲区</w:t>
      </w:r>
      <w:r>
        <w:rPr>
          <w:rFonts w:ascii="Times New Roman" w:hAnsi="Times New Roman" w:cs="Times New Roman"/>
          <w:lang w:eastAsia="zh-CN"/>
        </w:rPr>
        <w:t>项目建设；</w:t>
      </w:r>
    </w:p>
    <w:p w14:paraId="53B23896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（二）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生态安全缓冲区</w:t>
      </w:r>
      <w:r>
        <w:rPr>
          <w:rFonts w:ascii="Times New Roman" w:hAnsi="Times New Roman" w:cs="Times New Roman"/>
          <w:lang w:eastAsia="zh-CN"/>
        </w:rPr>
        <w:t>项目运维；</w:t>
      </w:r>
    </w:p>
    <w:p w14:paraId="7731C5A7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（三）其他与</w:t>
      </w:r>
      <w:r>
        <w:rPr>
          <w:rFonts w:ascii="Times New Roman" w:hAnsi="Times New Roman" w:cs="Times New Roman"/>
          <w:snapToGrid w:val="0"/>
          <w:szCs w:val="36"/>
          <w:lang w:eastAsia="zh-CN"/>
        </w:rPr>
        <w:t>生态安全缓冲区</w:t>
      </w:r>
      <w:r>
        <w:rPr>
          <w:rFonts w:ascii="Times New Roman" w:hAnsi="Times New Roman" w:cs="Times New Roman"/>
          <w:lang w:eastAsia="zh-CN"/>
        </w:rPr>
        <w:t>项目绩效提升直接相关的内容。</w:t>
      </w:r>
    </w:p>
    <w:p w14:paraId="4B789ED7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第十条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补助资金拨付按照财政国库集中支付制度的规定办理。涉及政府采购的，应当按照政府采购有关规定执行。</w:t>
      </w:r>
    </w:p>
    <w:p w14:paraId="6D726BA7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第十一条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补助资金实行专款专用，严禁截留、挤占、挪用。项目所在地生态环境、财政部门要加强对补助资金使用的监督管理，自觉接受审计及上级主管部门的监督检查。</w:t>
      </w:r>
      <w:r>
        <w:rPr>
          <w:rFonts w:ascii="Times New Roman" w:hAnsi="Times New Roman" w:cs="Times New Roman"/>
          <w:lang w:eastAsia="zh-CN"/>
        </w:rPr>
        <w:lastRenderedPageBreak/>
        <w:t>生态环境部门应建立资金使用台账，并将补助资金使用情况报省生态环境厅。对违法违规使用补助资金的，一经查实，按照《财政违法行为处罚处分条例》《江苏省财政监督条例》等有关规定予以处理处罚。</w:t>
      </w:r>
    </w:p>
    <w:p w14:paraId="5998E5CB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第十二条</w:t>
      </w:r>
      <w:r>
        <w:rPr>
          <w:rFonts w:ascii="Times New Roman" w:eastAsia="黑体" w:hAnsi="Times New Roman" w:cs="Times New Roman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获得补助资金的项目所在地生态环境、财政部门，每年应及时对上一年度补助资金使用情况开展绩效自评价，并报省生态环境厅、省财政厅备案。</w:t>
      </w:r>
      <w:r>
        <w:rPr>
          <w:rFonts w:ascii="Times New Roman" w:hAnsi="Times New Roman" w:cs="Times New Roman"/>
          <w:lang w:eastAsia="zh-Hans"/>
        </w:rPr>
        <w:t>省生态环境厅、省财政厅根据实际情况，对资金使用情况和项目实施情况进行绩效评价和监督检查。</w:t>
      </w:r>
    </w:p>
    <w:p w14:paraId="59B48DF6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第十三条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本办法由省生态环境厅、省财政厅负责解释。</w:t>
      </w:r>
    </w:p>
    <w:p w14:paraId="7EB701D0" w14:textId="77777777" w:rsidR="006A68C3" w:rsidRDefault="00000000">
      <w:pPr>
        <w:pStyle w:val="a3"/>
        <w:adjustRightInd w:val="0"/>
        <w:snapToGrid w:val="0"/>
        <w:spacing w:line="590" w:lineRule="exact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第十四条</w:t>
      </w:r>
      <w:r>
        <w:rPr>
          <w:rFonts w:ascii="Times New Roman" w:hAnsi="Times New Roman" w:cs="Times New Roman"/>
          <w:lang w:eastAsia="zh-CN"/>
        </w:rPr>
        <w:t xml:space="preserve">   </w:t>
      </w:r>
      <w:r>
        <w:rPr>
          <w:rFonts w:ascii="Times New Roman" w:hAnsi="Times New Roman" w:cs="Times New Roman"/>
          <w:lang w:eastAsia="zh-CN"/>
        </w:rPr>
        <w:t>本办法自印发之日起施行。</w:t>
      </w:r>
    </w:p>
    <w:p w14:paraId="4DCD7489" w14:textId="6BCD72B5" w:rsidR="006A68C3" w:rsidRDefault="006A68C3">
      <w:pPr>
        <w:widowControl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sectPr w:rsidR="006A68C3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BE073C" w14:textId="77777777" w:rsidR="00CA2D40" w:rsidRDefault="00CA2D40">
      <w:r>
        <w:separator/>
      </w:r>
    </w:p>
  </w:endnote>
  <w:endnote w:type="continuationSeparator" w:id="0">
    <w:p w14:paraId="732386FB" w14:textId="77777777" w:rsidR="00CA2D40" w:rsidRDefault="00CA2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FZXiaoBiaoSong-B05S">
    <w:altName w:val="宋体"/>
    <w:charset w:val="86"/>
    <w:family w:val="swiss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51FD3B" w14:textId="77777777" w:rsidR="006A68C3" w:rsidRDefault="00000000">
    <w:pPr>
      <w:pStyle w:val="a5"/>
      <w:ind w:leftChars="100" w:left="210" w:rightChars="100" w:right="21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a"/>
      </w:rPr>
      <w:instrText xml:space="preserve"> PAGE </w:instrText>
    </w:r>
    <w:r>
      <w:fldChar w:fldCharType="separate"/>
    </w:r>
    <w:r>
      <w:rPr>
        <w:rStyle w:val="aa"/>
      </w:rPr>
      <w:t>18</w:t>
    </w:r>
    <w:r>
      <w:fldChar w:fldCharType="end"/>
    </w:r>
    <w:r>
      <w:rPr>
        <w:rStyle w:val="aa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469D9D" w14:textId="77777777" w:rsidR="006A68C3" w:rsidRDefault="00000000">
    <w:pPr>
      <w:pStyle w:val="a5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a"/>
      </w:rPr>
      <w:instrText xml:space="preserve"> PAGE </w:instrText>
    </w:r>
    <w:r>
      <w:fldChar w:fldCharType="separate"/>
    </w:r>
    <w:r>
      <w:rPr>
        <w:rStyle w:val="aa"/>
      </w:rPr>
      <w:t>22</w:t>
    </w:r>
    <w:r>
      <w:fldChar w:fldCharType="end"/>
    </w:r>
    <w:r>
      <w:rPr>
        <w:rStyle w:val="aa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30864" w14:textId="77777777" w:rsidR="00CA2D40" w:rsidRDefault="00CA2D40">
      <w:r>
        <w:separator/>
      </w:r>
    </w:p>
  </w:footnote>
  <w:footnote w:type="continuationSeparator" w:id="0">
    <w:p w14:paraId="70391FCB" w14:textId="77777777" w:rsidR="00CA2D40" w:rsidRDefault="00CA2D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293"/>
    <w:rsid w:val="001019A6"/>
    <w:rsid w:val="00144A21"/>
    <w:rsid w:val="00145DD1"/>
    <w:rsid w:val="00170C25"/>
    <w:rsid w:val="0019076E"/>
    <w:rsid w:val="0026794C"/>
    <w:rsid w:val="00317922"/>
    <w:rsid w:val="00351E85"/>
    <w:rsid w:val="003D46DE"/>
    <w:rsid w:val="00435D96"/>
    <w:rsid w:val="00466AAB"/>
    <w:rsid w:val="004F2293"/>
    <w:rsid w:val="005C2CE6"/>
    <w:rsid w:val="006A68C3"/>
    <w:rsid w:val="009E7D68"/>
    <w:rsid w:val="00A02214"/>
    <w:rsid w:val="00A349FB"/>
    <w:rsid w:val="00CA2D40"/>
    <w:rsid w:val="00D63DB7"/>
    <w:rsid w:val="00D900B5"/>
    <w:rsid w:val="00DC3A59"/>
    <w:rsid w:val="6BA6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28E9E"/>
  <w15:docId w15:val="{E9BBF52F-464D-4433-B0D2-9AEE72304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pPr>
      <w:autoSpaceDE w:val="0"/>
      <w:autoSpaceDN w:val="0"/>
      <w:ind w:left="111"/>
      <w:jc w:val="left"/>
    </w:pPr>
    <w:rPr>
      <w:rFonts w:ascii="方正仿宋_GBK" w:eastAsia="方正仿宋_GBK" w:hAnsi="方正仿宋_GBK" w:cs="方正仿宋_GBK"/>
      <w:kern w:val="0"/>
      <w:sz w:val="32"/>
      <w:szCs w:val="32"/>
      <w:lang w:eastAsia="en-US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page number"/>
    <w:qFormat/>
  </w:style>
  <w:style w:type="character" w:styleId="ab">
    <w:name w:val="Strong"/>
    <w:basedOn w:val="a0"/>
    <w:uiPriority w:val="22"/>
    <w:qFormat/>
    <w:rPr>
      <w:b/>
      <w:bCs/>
    </w:rPr>
  </w:style>
  <w:style w:type="table" w:styleId="ac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itle"/>
    <w:basedOn w:val="a"/>
    <w:link w:val="ae"/>
    <w:uiPriority w:val="1"/>
    <w:qFormat/>
    <w:pPr>
      <w:autoSpaceDE w:val="0"/>
      <w:autoSpaceDN w:val="0"/>
      <w:spacing w:before="192"/>
      <w:ind w:right="160"/>
      <w:jc w:val="center"/>
    </w:pPr>
    <w:rPr>
      <w:rFonts w:ascii="宋体" w:eastAsia="宋体" w:hAnsi="宋体" w:cs="宋体"/>
      <w:kern w:val="0"/>
      <w:sz w:val="44"/>
      <w:szCs w:val="44"/>
      <w:lang w:eastAsia="en-US"/>
    </w:rPr>
  </w:style>
  <w:style w:type="table" w:customStyle="1" w:styleId="11">
    <w:name w:val="网格型1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正文文本 字符"/>
    <w:basedOn w:val="a0"/>
    <w:link w:val="a3"/>
    <w:uiPriority w:val="1"/>
    <w:qFormat/>
    <w:rPr>
      <w:rFonts w:ascii="方正仿宋_GBK" w:eastAsia="方正仿宋_GBK" w:hAnsi="方正仿宋_GBK" w:cs="方正仿宋_GBK"/>
      <w:kern w:val="0"/>
      <w:sz w:val="32"/>
      <w:szCs w:val="32"/>
      <w:lang w:eastAsia="en-US"/>
    </w:rPr>
  </w:style>
  <w:style w:type="character" w:customStyle="1" w:styleId="ae">
    <w:name w:val="标题 字符"/>
    <w:basedOn w:val="a0"/>
    <w:link w:val="ad"/>
    <w:uiPriority w:val="1"/>
    <w:qFormat/>
    <w:rPr>
      <w:rFonts w:ascii="宋体" w:eastAsia="宋体" w:hAnsi="宋体" w:cs="宋体"/>
      <w:kern w:val="0"/>
      <w:sz w:val="44"/>
      <w:szCs w:val="44"/>
      <w:lang w:eastAsia="en-US"/>
    </w:rPr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CharChar">
    <w:name w:val="Char Char"/>
    <w:basedOn w:val="a"/>
    <w:qFormat/>
    <w:pPr>
      <w:ind w:firstLineChars="200" w:firstLine="632"/>
    </w:pPr>
    <w:rPr>
      <w:rFonts w:ascii="Times New Roman" w:eastAsia="仿宋_GB2312" w:hAnsi="Times New Roman" w:cs="Times New Roman"/>
      <w:sz w:val="32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sz w:val="24"/>
      <w:szCs w:val="24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304</Words>
  <Characters>1734</Characters>
  <Application>Microsoft Office Word</Application>
  <DocSecurity>0</DocSecurity>
  <Lines>14</Lines>
  <Paragraphs>4</Paragraphs>
  <ScaleCrop>false</ScaleCrop>
  <Company>Microsoft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zhangzhe</dc:creator>
  <cp:lastModifiedBy>艺 封</cp:lastModifiedBy>
  <cp:revision>8</cp:revision>
  <dcterms:created xsi:type="dcterms:W3CDTF">2022-10-27T07:57:00Z</dcterms:created>
  <dcterms:modified xsi:type="dcterms:W3CDTF">2024-09-25T06:58:00Z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1033-11.2.0.11380</vt:lpwstr>
  </property>
  <property fmtid="{D5CDD505-2E9C-101B-9397-08002B2CF9AE}" pid="3" name="ICV">
    <vt:lpwstr>E7F1797FF8CE434B9818DAF4060965ED</vt:lpwstr>
  </property>
</Properties>
</file>